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B55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left"/>
        <w:textAlignment w:val="auto"/>
        <w:rPr>
          <w:rFonts w:hint="eastAsia" w:ascii="黑体" w:hAnsi="黑体" w:eastAsia="黑体" w:cs="黑体"/>
          <w:i w:val="0"/>
          <w:iCs w:val="0"/>
          <w:caps w:val="0"/>
          <w:color w:val="auto"/>
          <w:spacing w:val="0"/>
          <w:sz w:val="32"/>
          <w:szCs w:val="32"/>
          <w:shd w:val="clear" w:color="auto" w:fill="FFFFFF"/>
          <w:lang w:val="en-US" w:eastAsia="zh-CN"/>
        </w:rPr>
      </w:pPr>
      <w:r>
        <w:rPr>
          <w:rFonts w:hint="eastAsia" w:ascii="黑体" w:hAnsi="黑体" w:eastAsia="黑体" w:cs="黑体"/>
          <w:i w:val="0"/>
          <w:iCs w:val="0"/>
          <w:caps w:val="0"/>
          <w:color w:val="auto"/>
          <w:spacing w:val="0"/>
          <w:sz w:val="32"/>
          <w:szCs w:val="32"/>
          <w:shd w:val="clear" w:color="auto" w:fill="FFFFFF"/>
          <w:lang w:val="en-US" w:eastAsia="zh-CN"/>
        </w:rPr>
        <w:t>附件</w:t>
      </w:r>
    </w:p>
    <w:p w14:paraId="7923935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color="auto" w:fill="FFFFFF"/>
          <w:lang w:val="en-US"/>
        </w:rPr>
      </w:pPr>
    </w:p>
    <w:p w14:paraId="5C639E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color="auto" w:fill="FFFFFF"/>
        </w:rPr>
      </w:pPr>
      <w:r>
        <w:rPr>
          <w:rFonts w:hint="eastAsia" w:ascii="方正小标宋简体" w:hAnsi="方正小标宋简体" w:eastAsia="方正小标宋简体" w:cs="方正小标宋简体"/>
          <w:i w:val="0"/>
          <w:iCs w:val="0"/>
          <w:caps w:val="0"/>
          <w:color w:val="auto"/>
          <w:spacing w:val="0"/>
          <w:sz w:val="44"/>
          <w:szCs w:val="44"/>
          <w:shd w:val="clear" w:color="auto" w:fill="FFFFFF"/>
          <w:lang w:val="en-US"/>
        </w:rPr>
        <w:t>乌海</w:t>
      </w:r>
      <w:r>
        <w:rPr>
          <w:rFonts w:hint="eastAsia" w:ascii="方正小标宋简体" w:hAnsi="方正小标宋简体" w:eastAsia="方正小标宋简体" w:cs="方正小标宋简体"/>
          <w:i w:val="0"/>
          <w:iCs w:val="0"/>
          <w:caps w:val="0"/>
          <w:color w:val="auto"/>
          <w:spacing w:val="0"/>
          <w:sz w:val="44"/>
          <w:szCs w:val="44"/>
          <w:shd w:val="clear" w:color="auto" w:fill="FFFFFF"/>
        </w:rPr>
        <w:t>市</w:t>
      </w:r>
      <w:r>
        <w:rPr>
          <w:rFonts w:hint="eastAsia" w:ascii="方正小标宋简体" w:hAnsi="方正小标宋简体" w:eastAsia="方正小标宋简体" w:cs="方正小标宋简体"/>
          <w:i w:val="0"/>
          <w:iCs w:val="0"/>
          <w:caps w:val="0"/>
          <w:color w:val="auto"/>
          <w:spacing w:val="0"/>
          <w:sz w:val="44"/>
          <w:szCs w:val="44"/>
          <w:shd w:val="clear" w:color="auto" w:fill="FFFFFF"/>
          <w:lang w:val="en-US" w:eastAsia="zh-CN"/>
        </w:rPr>
        <w:t>房屋建筑和市政基础设施工程</w:t>
      </w:r>
    </w:p>
    <w:p w14:paraId="262056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color="auto" w:fill="FFFFFF"/>
        </w:rPr>
      </w:pPr>
      <w:r>
        <w:rPr>
          <w:rFonts w:hint="eastAsia" w:ascii="方正小标宋简体" w:hAnsi="方正小标宋简体" w:eastAsia="方正小标宋简体" w:cs="方正小标宋简体"/>
          <w:i w:val="0"/>
          <w:iCs w:val="0"/>
          <w:caps w:val="0"/>
          <w:color w:val="auto"/>
          <w:spacing w:val="0"/>
          <w:sz w:val="44"/>
          <w:szCs w:val="44"/>
          <w:shd w:val="clear" w:color="auto" w:fill="FFFFFF"/>
        </w:rPr>
        <w:t>招标投标评定分离管理</w:t>
      </w:r>
      <w:r>
        <w:rPr>
          <w:rFonts w:hint="eastAsia" w:ascii="方正小标宋简体" w:hAnsi="方正小标宋简体" w:eastAsia="方正小标宋简体" w:cs="方正小标宋简体"/>
          <w:i w:val="0"/>
          <w:iCs w:val="0"/>
          <w:caps w:val="0"/>
          <w:color w:val="auto"/>
          <w:spacing w:val="0"/>
          <w:sz w:val="44"/>
          <w:szCs w:val="44"/>
          <w:shd w:val="clear" w:color="auto" w:fill="FFFFFF"/>
          <w:lang w:val="en-US" w:eastAsia="zh-CN"/>
        </w:rPr>
        <w:t>暂行</w:t>
      </w:r>
      <w:r>
        <w:rPr>
          <w:rFonts w:hint="eastAsia" w:ascii="方正小标宋简体" w:hAnsi="方正小标宋简体" w:eastAsia="方正小标宋简体" w:cs="方正小标宋简体"/>
          <w:i w:val="0"/>
          <w:iCs w:val="0"/>
          <w:caps w:val="0"/>
          <w:color w:val="auto"/>
          <w:spacing w:val="0"/>
          <w:sz w:val="44"/>
          <w:szCs w:val="44"/>
          <w:shd w:val="clear" w:color="auto" w:fill="FFFFFF"/>
        </w:rPr>
        <w:t>办法</w:t>
      </w:r>
    </w:p>
    <w:p w14:paraId="11F15F0D">
      <w:pPr>
        <w:keepNext w:val="0"/>
        <w:keepLines w:val="0"/>
        <w:pageBreakBefore w:val="0"/>
        <w:widowControl w:val="0"/>
        <w:suppressLineNumbers w:val="0"/>
        <w:kinsoku/>
        <w:wordWrap/>
        <w:overflowPunct/>
        <w:topLinePunct w:val="0"/>
        <w:autoSpaceDE/>
        <w:autoSpaceDN/>
        <w:bidi w:val="0"/>
        <w:adjustRightInd/>
        <w:snapToGrid w:val="0"/>
        <w:spacing w:line="578" w:lineRule="exact"/>
        <w:ind w:lef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p>
    <w:p w14:paraId="63C4A0A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shd w:val="clear" w:color="auto" w:fill="FFFFFF"/>
          <w:lang w:val="en-US" w:eastAsia="zh-CN"/>
        </w:rPr>
      </w:pPr>
      <w:r>
        <w:rPr>
          <w:rFonts w:hint="default" w:ascii="Times New Roman" w:hAnsi="Times New Roman" w:eastAsia="黑体" w:cs="Times New Roman"/>
          <w:i w:val="0"/>
          <w:iCs w:val="0"/>
          <w:caps w:val="0"/>
          <w:color w:val="auto"/>
          <w:spacing w:val="0"/>
          <w:sz w:val="32"/>
          <w:szCs w:val="32"/>
          <w:shd w:val="clear" w:color="auto" w:fill="FFFFFF"/>
          <w:lang w:val="en-US" w:eastAsia="zh-CN"/>
        </w:rPr>
        <w:t>第一章  总  则</w:t>
      </w:r>
    </w:p>
    <w:p w14:paraId="5BEF027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第一条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为规范本市房屋建筑和市政基础设施工程招标投标活动，落实招标人主体责任，提升工程建设质量，优化招标投标领域营商环境，依据《中华人民共和国招标投标法》《中华人民共和国招标投标法实施条例》《国务院办公厅关于创新完善体制机制推动招标投标市场规范健康发展的意见》《房屋建筑和市政基础设施工程招标投标监管指导意见》《必须招标的工程项目规定》《招标投标领域公平竞争审查规则》《招标人主体责任履行指引》以及自治区相关文件要求，结合本市实际，制定本办法。</w:t>
      </w:r>
    </w:p>
    <w:p w14:paraId="0F576E7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第二条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本办法遵循权责统一、公平公正、公开透明、竞争择优、廉洁高效原则，依法推进工程招标投标“评定分离”改革。</w:t>
      </w:r>
    </w:p>
    <w:p w14:paraId="32113D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第三条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本办法所称招标投标</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评定分离</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，是将工程建设项目评标划分为评审、定标两个独立阶段：</w:t>
      </w:r>
    </w:p>
    <w:p w14:paraId="53E8A90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评审阶段：评标委员会按照评标办法审查投标文件，向招标人</w:t>
      </w:r>
      <w:r>
        <w:rPr>
          <w:rFonts w:hint="eastAsia" w:cs="Times New Roman"/>
          <w:i w:val="0"/>
          <w:iCs w:val="0"/>
          <w:caps w:val="0"/>
          <w:color w:val="auto"/>
          <w:spacing w:val="0"/>
          <w:sz w:val="32"/>
          <w:szCs w:val="32"/>
          <w:shd w:val="clear" w:color="auto" w:fill="FFFFFF"/>
          <w:lang w:val="en-US" w:eastAsia="zh-CN"/>
        </w:rPr>
        <w:t>按候选人单位名称中第一个不相同汉字首字母</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的</w:t>
      </w:r>
      <w:r>
        <w:rPr>
          <w:rFonts w:hint="eastAsia" w:cs="Times New Roman"/>
          <w:i w:val="0"/>
          <w:iCs w:val="0"/>
          <w:caps w:val="0"/>
          <w:color w:val="auto"/>
          <w:spacing w:val="0"/>
          <w:sz w:val="32"/>
          <w:szCs w:val="32"/>
          <w:shd w:val="clear" w:color="auto" w:fill="FFFFFF"/>
          <w:lang w:val="en-US" w:eastAsia="zh-CN"/>
        </w:rPr>
        <w:t>顺序</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推荐合格</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标候选人并出具评审报告；</w:t>
      </w:r>
    </w:p>
    <w:p w14:paraId="7EA3B29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定标阶段：定标委员会按照定标规则，在</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标候选人中择优确定中标人。</w:t>
      </w:r>
    </w:p>
    <w:p w14:paraId="306E6AC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第四条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本办法适用于本市行政区域内，依法必须招标的房屋建筑和市政基础设施工程（含勘察、设计、</w:t>
      </w:r>
      <w:r>
        <w:rPr>
          <w:rFonts w:hint="eastAsia" w:cs="Times New Roman"/>
          <w:i w:val="0"/>
          <w:iCs w:val="0"/>
          <w:caps w:val="0"/>
          <w:color w:val="auto"/>
          <w:spacing w:val="0"/>
          <w:sz w:val="32"/>
          <w:szCs w:val="32"/>
          <w:shd w:val="clear" w:color="auto" w:fill="FFFFFF"/>
          <w:lang w:val="en-US" w:eastAsia="zh-CN"/>
        </w:rPr>
        <w:t>监理、</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施工、工程总承包以及与工程建设有关的重要设备、材料等的采购等）</w:t>
      </w:r>
      <w:r>
        <w:rPr>
          <w:rFonts w:hint="eastAsia" w:cs="Times New Roman"/>
          <w:i w:val="0"/>
          <w:iCs w:val="0"/>
          <w:caps w:val="0"/>
          <w:color w:val="auto"/>
          <w:spacing w:val="0"/>
          <w:sz w:val="32"/>
          <w:szCs w:val="32"/>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采用评定分离模式的项目。</w:t>
      </w:r>
    </w:p>
    <w:p w14:paraId="1C024EB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政府投资、国有资金占控股或主导地位</w:t>
      </w:r>
      <w:r>
        <w:rPr>
          <w:rFonts w:hint="eastAsia" w:cs="Times New Roman"/>
          <w:i w:val="0"/>
          <w:iCs w:val="0"/>
          <w:caps w:val="0"/>
          <w:color w:val="auto"/>
          <w:spacing w:val="0"/>
          <w:sz w:val="32"/>
          <w:szCs w:val="32"/>
          <w:shd w:val="clear" w:color="auto" w:fill="FFFFFF"/>
          <w:lang w:val="en-US" w:eastAsia="zh-CN"/>
        </w:rPr>
        <w:t>的</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项目，</w:t>
      </w:r>
      <w:r>
        <w:rPr>
          <w:rFonts w:hint="eastAsia" w:cs="Times New Roman"/>
          <w:i w:val="0"/>
          <w:iCs w:val="0"/>
          <w:caps w:val="0"/>
          <w:color w:val="auto"/>
          <w:spacing w:val="0"/>
          <w:sz w:val="32"/>
          <w:szCs w:val="32"/>
          <w:highlight w:val="none"/>
          <w:shd w:val="clear" w:color="auto" w:fill="FFFFFF"/>
          <w:lang w:val="en-US" w:eastAsia="zh-CN"/>
        </w:rPr>
        <w:t>可</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采用评定分离方式</w:t>
      </w:r>
      <w:r>
        <w:rPr>
          <w:rFonts w:hint="eastAsia" w:cs="Times New Roman"/>
          <w:i w:val="0"/>
          <w:iCs w:val="0"/>
          <w:caps w:val="0"/>
          <w:color w:val="auto"/>
          <w:spacing w:val="0"/>
          <w:sz w:val="32"/>
          <w:szCs w:val="32"/>
          <w:shd w:val="clear" w:color="auto" w:fill="FFFFFF"/>
          <w:lang w:val="en-US" w:eastAsia="zh-CN"/>
        </w:rPr>
        <w:t>。</w:t>
      </w:r>
    </w:p>
    <w:p w14:paraId="28F31DE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第五条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招标人依法享有招标投标全过程自主决策权，同时承担相应法律责任，具体包括：</w:t>
      </w:r>
    </w:p>
    <w:p w14:paraId="6A8E8E4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（一）制定定标方案，组建招标监督小组、评标委员会、资格审查委员会</w:t>
      </w:r>
      <w:r>
        <w:rPr>
          <w:rFonts w:hint="eastAsia" w:cs="Times New Roman"/>
          <w:i w:val="0"/>
          <w:iCs w:val="0"/>
          <w:caps w:val="0"/>
          <w:color w:val="auto"/>
          <w:spacing w:val="0"/>
          <w:sz w:val="32"/>
          <w:szCs w:val="32"/>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定标委员会；</w:t>
      </w:r>
    </w:p>
    <w:p w14:paraId="79D7326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（二）编制、发布、澄清、修改招标文件（资格预审文件）；</w:t>
      </w:r>
    </w:p>
    <w:p w14:paraId="6307CD9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（三）自行或委托代理机构组织招标活动；</w:t>
      </w:r>
    </w:p>
    <w:p w14:paraId="36E0AE9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四</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）组织开标、评标、定标工作；</w:t>
      </w:r>
    </w:p>
    <w:p w14:paraId="6E1EAAC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五</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）依法收取、退还或不予退还投标保证金；</w:t>
      </w:r>
    </w:p>
    <w:p w14:paraId="1D8EC5C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六</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）确认中标结果、发出中标通知书；</w:t>
      </w:r>
    </w:p>
    <w:p w14:paraId="7B52302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七</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）签订并履行工程合同；</w:t>
      </w:r>
    </w:p>
    <w:p w14:paraId="79C112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八</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）处理招标投标异议；</w:t>
      </w:r>
    </w:p>
    <w:p w14:paraId="7F6FE87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w:t>
      </w:r>
      <w:r>
        <w:rPr>
          <w:rFonts w:hint="eastAsia" w:cs="Times New Roman"/>
          <w:i w:val="0"/>
          <w:iCs w:val="0"/>
          <w:caps w:val="0"/>
          <w:color w:val="auto"/>
          <w:spacing w:val="0"/>
          <w:sz w:val="32"/>
          <w:szCs w:val="32"/>
          <w:shd w:val="clear" w:color="auto" w:fill="FFFFFF"/>
          <w:lang w:val="en-US" w:eastAsia="zh-CN"/>
        </w:rPr>
        <w:t>九</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）依法暂停、恢复招标投标活动；</w:t>
      </w:r>
    </w:p>
    <w:p w14:paraId="562BD64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（十）法律法规规定的其他权利与责任。</w:t>
      </w:r>
    </w:p>
    <w:p w14:paraId="0F36D6B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shd w:val="clear" w:color="auto" w:fill="FFFFFF"/>
          <w:lang w:val="en-US" w:eastAsia="zh-CN"/>
        </w:rPr>
        <w:t>第六条</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 xml:space="preserve">  </w:t>
      </w:r>
      <w:r>
        <w:rPr>
          <w:rFonts w:hint="eastAsia" w:cs="Times New Roman"/>
          <w:i w:val="0"/>
          <w:iCs w:val="0"/>
          <w:caps w:val="0"/>
          <w:color w:val="auto"/>
          <w:spacing w:val="0"/>
          <w:sz w:val="32"/>
          <w:szCs w:val="32"/>
          <w:shd w:val="clear" w:color="auto" w:fill="FFFFFF"/>
          <w:lang w:val="en-US" w:eastAsia="zh-CN"/>
        </w:rPr>
        <w:t>需采用“</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评定分离</w:t>
      </w:r>
      <w:r>
        <w:rPr>
          <w:rFonts w:hint="eastAsia" w:cs="Times New Roman"/>
          <w:i w:val="0"/>
          <w:iCs w:val="0"/>
          <w:caps w:val="0"/>
          <w:color w:val="auto"/>
          <w:spacing w:val="0"/>
          <w:sz w:val="32"/>
          <w:szCs w:val="32"/>
          <w:shd w:val="clear" w:color="auto" w:fill="FFFFFF"/>
          <w:lang w:val="en-US" w:eastAsia="zh-CN"/>
        </w:rPr>
        <w:t>”模式确定中标人的</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项目</w:t>
      </w:r>
      <w:r>
        <w:rPr>
          <w:rFonts w:hint="eastAsia" w:cs="Times New Roman"/>
          <w:i w:val="0"/>
          <w:iCs w:val="0"/>
          <w:caps w:val="0"/>
          <w:color w:val="auto"/>
          <w:spacing w:val="0"/>
          <w:sz w:val="32"/>
          <w:szCs w:val="32"/>
          <w:shd w:val="clear" w:color="auto" w:fill="FFFFFF"/>
          <w:lang w:val="en-US" w:eastAsia="zh-CN"/>
        </w:rPr>
        <w:t>在评标过程中依然实行招标人事先约定评标方法，评标委员会成员应当严格按照招标文件规定的评标标准和方法，客观、公正地对投标文件提出评审意见，招标文件没有规定的评标标准和方法不得作为评标的依据。</w:t>
      </w:r>
    </w:p>
    <w:p w14:paraId="1AD0316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评标过程结束后，需将综合评分前三名定为合格中标候选人，并向招标人推荐，不再按得分高低排序，横向比对各单位全称，以名称中首个相异汉字的汉语拼音首字母按A-Z升序排列。</w:t>
      </w:r>
    </w:p>
    <w:p w14:paraId="39011D7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经评审合格投标人不足规定数量的，若招标文件已明确约定，评标委员会可继续推荐并书面说明理由。</w:t>
      </w:r>
    </w:p>
    <w:p w14:paraId="69C8E6A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若招标文件未明确，经评审合格投标人不足</w:t>
      </w:r>
      <w:r>
        <w:rPr>
          <w:rFonts w:hint="eastAsia" w:cs="Times New Roman"/>
          <w:i w:val="0"/>
          <w:iCs w:val="0"/>
          <w:caps w:val="0"/>
          <w:color w:val="auto"/>
          <w:spacing w:val="0"/>
          <w:sz w:val="32"/>
          <w:szCs w:val="32"/>
          <w:highlight w:val="none"/>
          <w:shd w:val="clear" w:color="auto" w:fill="FFFFFF"/>
          <w:lang w:val="en-US" w:eastAsia="zh-CN"/>
        </w:rPr>
        <w:t>且</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明显缺乏竞争的，不得推荐</w:t>
      </w:r>
      <w:r>
        <w:rPr>
          <w:rFonts w:hint="eastAsia" w:cs="Times New Roman"/>
          <w:i w:val="0"/>
          <w:iCs w:val="0"/>
          <w:caps w:val="0"/>
          <w:color w:val="auto"/>
          <w:spacing w:val="0"/>
          <w:sz w:val="32"/>
          <w:szCs w:val="32"/>
          <w:highlight w:val="none"/>
          <w:shd w:val="clear" w:color="auto" w:fill="FFFFFF"/>
          <w:lang w:val="en-US" w:eastAsia="zh-CN"/>
        </w:rPr>
        <w:t>中</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标候选人，招标人应当重新招标。</w:t>
      </w:r>
    </w:p>
    <w:p w14:paraId="6098482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第七条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标候选人公示期不少于</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日</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对</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标候选人的异议、投诉，依照《中华人民共和国招标投标法》及配套法规处理。</w:t>
      </w:r>
    </w:p>
    <w:p w14:paraId="56D4AC8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第八条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定标会议须在外部监督小组监督下召开。外部监督小组由项目所在地住房城乡建设主管部门</w:t>
      </w:r>
      <w:r>
        <w:rPr>
          <w:rFonts w:hint="eastAsia" w:cs="Times New Roman"/>
          <w:i w:val="0"/>
          <w:iCs w:val="0"/>
          <w:caps w:val="0"/>
          <w:color w:val="auto"/>
          <w:spacing w:val="0"/>
          <w:sz w:val="32"/>
          <w:szCs w:val="32"/>
          <w:highlight w:val="none"/>
          <w:shd w:val="clear" w:color="auto" w:fill="FFFFFF"/>
          <w:lang w:val="en-US" w:eastAsia="zh-CN"/>
        </w:rPr>
        <w:t>人员组成</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，成员不少于</w:t>
      </w:r>
      <w:r>
        <w:rPr>
          <w:rFonts w:hint="eastAsia" w:cs="Times New Roman"/>
          <w:i w:val="0"/>
          <w:iCs w:val="0"/>
          <w:caps w:val="0"/>
          <w:color w:val="auto"/>
          <w:spacing w:val="0"/>
          <w:sz w:val="32"/>
          <w:szCs w:val="32"/>
          <w:highlight w:val="none"/>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人。</w:t>
      </w:r>
    </w:p>
    <w:p w14:paraId="4BC7B9E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外部监督小组成员回避情形同评标委员会回避规定，应主动申报并回避。</w:t>
      </w:r>
    </w:p>
    <w:p w14:paraId="64B6766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外</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部监督小组成员不得兼任评标委员会、定标委员会成员。</w:t>
      </w:r>
    </w:p>
    <w:p w14:paraId="614B6CE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p>
    <w:p w14:paraId="7D0E5AE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第二章  招  标</w:t>
      </w:r>
    </w:p>
    <w:p w14:paraId="1332CB5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第九条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符合《必须招标的工程项目规定》范围和标准的项目，除法定例外情形外，招标人必须通过招标确定承包方、货物或服务供应商。</w:t>
      </w:r>
    </w:p>
    <w:p w14:paraId="4E8B456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符合必须招标范围和标准的项目，有下列情形之一的，可依法不招标：</w:t>
      </w:r>
    </w:p>
    <w:p w14:paraId="193C957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（一）涉及国家安全、国家秘密的；</w:t>
      </w:r>
    </w:p>
    <w:p w14:paraId="42808DA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（二）抢险救灾的；</w:t>
      </w:r>
    </w:p>
    <w:p w14:paraId="426E4C8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（三）以工代赈、需要使用农民工的；</w:t>
      </w:r>
    </w:p>
    <w:p w14:paraId="2426C4C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（四）需要采用不可替代专利或专有技术的；</w:t>
      </w:r>
    </w:p>
    <w:p w14:paraId="558ACB2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（五）采购人依法能够自行建设、生产或提供的；</w:t>
      </w:r>
    </w:p>
    <w:p w14:paraId="6B7DE9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（六）需向原中标人采购，否则影响施工或功能配套的；</w:t>
      </w:r>
    </w:p>
    <w:p w14:paraId="407CE24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（七）总承包企业依法分包/采购（暂估价达到法定标准的除外）；</w:t>
      </w:r>
    </w:p>
    <w:p w14:paraId="3866951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（八）国家规定的其他情形。</w:t>
      </w:r>
    </w:p>
    <w:p w14:paraId="11E758C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第十一条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任何单位和个人不得分拆、</w:t>
      </w:r>
      <w:r>
        <w:rPr>
          <w:rFonts w:hint="eastAsia" w:cs="Times New Roman"/>
          <w:i w:val="0"/>
          <w:iCs w:val="0"/>
          <w:caps w:val="0"/>
          <w:color w:val="auto"/>
          <w:spacing w:val="0"/>
          <w:sz w:val="32"/>
          <w:szCs w:val="32"/>
          <w:highlight w:val="none"/>
          <w:shd w:val="clear" w:color="auto" w:fill="FFFFFF"/>
          <w:lang w:val="en-US" w:eastAsia="zh-CN"/>
        </w:rPr>
        <w:t>肢</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解项目或变相规避依法必须招标的项目，不得非法干预招标投标活动。</w:t>
      </w:r>
    </w:p>
    <w:p w14:paraId="06F455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red"/>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第十二条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eastAsia" w:cs="Times New Roman"/>
          <w:i w:val="0"/>
          <w:iCs w:val="0"/>
          <w:caps w:val="0"/>
          <w:color w:val="auto"/>
          <w:spacing w:val="0"/>
          <w:sz w:val="32"/>
          <w:szCs w:val="32"/>
          <w:highlight w:val="none"/>
          <w:shd w:val="clear" w:color="auto" w:fill="FFFFFF"/>
          <w:lang w:val="en-US" w:eastAsia="zh-CN"/>
        </w:rPr>
        <w:t>招标人应当依据项目技术要求、资格审查标准、投标报价要求、评标标准、定标方式及拟签订合同的主要条款等内容编制招标文件。</w:t>
      </w:r>
    </w:p>
    <w:p w14:paraId="3C922BF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招标人应当建立招标文件合规审查机制，核查文件是否符合国家强制性标准、是否存在排斥潜在投标人情形、资格审查与评标标准是否科学合理，确保招标文件合法合规、贴合项目需求。</w:t>
      </w:r>
    </w:p>
    <w:p w14:paraId="53C0EF0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第十三条</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招标人澄清、修改招标文件的，应在投标截止时间15日前发出；不足15日的，顺延投标截止时间。</w:t>
      </w:r>
    </w:p>
    <w:p w14:paraId="59C676B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第十四条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eastAsia" w:cs="Times New Roman"/>
          <w:i w:val="0"/>
          <w:iCs w:val="0"/>
          <w:caps w:val="0"/>
          <w:color w:val="auto"/>
          <w:spacing w:val="0"/>
          <w:sz w:val="32"/>
          <w:szCs w:val="32"/>
          <w:highlight w:val="none"/>
          <w:shd w:val="clear" w:color="auto" w:fill="FFFFFF"/>
          <w:lang w:val="en-US" w:eastAsia="zh-CN"/>
        </w:rPr>
        <w:t>符合条件且确定采用评定分离的项目在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招标文件</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应当明确标注采用评定分离方式，载明评标标准、评审方法、候选人推荐要求、定标方案核心内容、异议处理方式等，不得设置不合理条款排斥潜在投标人，不得设定违反公平竞争的评定分离相关条款。</w:t>
      </w:r>
    </w:p>
    <w:p w14:paraId="3F10C3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第十五条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招标人设定投标人资质条件，应当遵守下列规定：</w:t>
      </w:r>
    </w:p>
    <w:p w14:paraId="3193C51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（一）资质要求不得高于项目所需最低资质标准；</w:t>
      </w:r>
    </w:p>
    <w:p w14:paraId="77AE2D8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w:t>
      </w:r>
      <w:r>
        <w:rPr>
          <w:rFonts w:hint="eastAsia" w:cs="Times New Roman"/>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）法律法规规章规定的其他要求。</w:t>
      </w:r>
    </w:p>
    <w:p w14:paraId="4EEB599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第十六条</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两个以上法人或者其他组织可以组成一个联合体，以一个投标人的身份共同投标。</w:t>
      </w:r>
    </w:p>
    <w:p w14:paraId="4306CED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14:paraId="1E759F6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14:paraId="5E45349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招标人不得强制投标人组成联合体共同投标，不得限制投标人之间的竞争。</w:t>
      </w:r>
    </w:p>
    <w:p w14:paraId="5EBB6C1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第十七条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招标人应当提前制定定标方案，充分预判定标过程中各类情形，明确突发事件、不可抗力等特殊情况</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的处置</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规则，制定完备预案，保障定标方案可落地执行。</w:t>
      </w:r>
    </w:p>
    <w:p w14:paraId="483E310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定标方案应当明确定标因素、定标方法、定标程序、定标委员会组成、是否开展现场考察/定标答辩、是否确定备选中标人及</w:t>
      </w:r>
      <w:r>
        <w:rPr>
          <w:rFonts w:hint="eastAsia" w:cs="Times New Roman"/>
          <w:i w:val="0"/>
          <w:iCs w:val="0"/>
          <w:caps w:val="0"/>
          <w:color w:val="auto"/>
          <w:spacing w:val="0"/>
          <w:sz w:val="32"/>
          <w:szCs w:val="32"/>
          <w:highlight w:val="none"/>
          <w:shd w:val="clear" w:color="auto" w:fill="FFFFFF"/>
          <w:lang w:val="en-US" w:eastAsia="zh-CN"/>
        </w:rPr>
        <w:t>确认备选中标人的</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方式等核心内容，确保定标公平公正、择优遴选。</w:t>
      </w:r>
    </w:p>
    <w:p w14:paraId="1568C0C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定标方案经招标人“三重一大”决策、公平竞争审查通过后，与招标文件同步发布；代建单位组织招标的，定标方案须报建设单位审核同意。</w:t>
      </w:r>
    </w:p>
    <w:p w14:paraId="254A2B3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第十八条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招标公告应当明确是否采用</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评定分离</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模式，载明定标方案核心信息</w:t>
      </w:r>
      <w:r>
        <w:rPr>
          <w:rFonts w:hint="eastAsia" w:cs="Times New Roman"/>
          <w:i w:val="0"/>
          <w:iCs w:val="0"/>
          <w:caps w:val="0"/>
          <w:color w:val="auto"/>
          <w:spacing w:val="0"/>
          <w:sz w:val="32"/>
          <w:szCs w:val="32"/>
          <w:highlight w:val="none"/>
          <w:shd w:val="clear" w:color="auto" w:fill="FFFFFF"/>
          <w:lang w:val="en-US" w:eastAsia="zh-CN"/>
        </w:rPr>
        <w:t>。</w:t>
      </w:r>
    </w:p>
    <w:p w14:paraId="5F917AB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第十</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九</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招标人应当在招标启动时组建内部监督小组，由本单位内控、审计等非业务部门人员组成，人数为</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人及以上单数，对评定分离全流程实施内部监督。</w:t>
      </w:r>
    </w:p>
    <w:p w14:paraId="7AEB86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内部监督小组成员不得兼任评标委员会、定标委员会成员。</w:t>
      </w:r>
    </w:p>
    <w:p w14:paraId="0E72612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1CDDF63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第三章  开  标</w:t>
      </w:r>
    </w:p>
    <w:p w14:paraId="6405EA8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二十</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开标应当在招标文件确定的投标文件提交截止时间同一时间公开进行，开标地点为招标文件预先载明的地点。开标由招标人或其委托的招标代理机构组织实施。</w:t>
      </w:r>
    </w:p>
    <w:p w14:paraId="0C1C2A7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投标人少于</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个的，不得开标，招标人应当重新招标。</w:t>
      </w:r>
    </w:p>
    <w:p w14:paraId="235C0BE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二十一</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投标人对开标有异议的，应当在开标现场当场提出，招标人应当当场答复并制作书面记录。</w:t>
      </w:r>
    </w:p>
    <w:p w14:paraId="285E1F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开标全程录音录像，</w:t>
      </w:r>
      <w:r>
        <w:rPr>
          <w:rFonts w:hint="eastAsia" w:cs="Times New Roman"/>
          <w:i w:val="0"/>
          <w:iCs w:val="0"/>
          <w:caps w:val="0"/>
          <w:color w:val="auto"/>
          <w:spacing w:val="0"/>
          <w:sz w:val="32"/>
          <w:szCs w:val="32"/>
          <w:highlight w:val="none"/>
          <w:shd w:val="clear" w:color="auto" w:fill="FFFFFF"/>
          <w:lang w:val="en-US" w:eastAsia="zh-CN"/>
        </w:rPr>
        <w:t>存档备查</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7A10A54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p>
    <w:p w14:paraId="75B35B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第四章  评  标</w:t>
      </w:r>
    </w:p>
    <w:p w14:paraId="0C1F97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三</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评标活动遵循公平、公正、科学、择优原则，评标委员会独立开展评审，任何单位和个人不得非法干预。</w:t>
      </w:r>
    </w:p>
    <w:p w14:paraId="16D2B4D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四</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招标人应当依法组建评标委员会，评标委员会由招标人代表和技术、经济类专家组成，成员为五人及以上单数，其中技术、经济等方面的专家人数不得少于成员总数的三分之二</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从自治区房屋建筑和市政基础设施工程评标专家库中随机抽取</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专家库专家无法满足评审需求的，缺额专家从其他依法设立的评标专家库中随机补充确定。</w:t>
      </w:r>
    </w:p>
    <w:p w14:paraId="228D08E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五</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 xml:space="preserve">条  </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评标委员会成员有下列情形之一的，</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应当</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主动回避：</w:t>
      </w:r>
    </w:p>
    <w:p w14:paraId="263C737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32"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一</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投标人或其负责人近亲属；</w:t>
      </w:r>
    </w:p>
    <w:p w14:paraId="411DE76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32" w:firstLineChars="200"/>
        <w:jc w:val="both"/>
        <w:textAlignment w:val="auto"/>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）与投标人有劳动关系、债权债务、控股等利害关系；</w:t>
      </w:r>
    </w:p>
    <w:p w14:paraId="15B7A13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32" w:firstLineChars="200"/>
        <w:jc w:val="both"/>
        <w:textAlignment w:val="auto"/>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三</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）曾因招投标违法违规</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受到</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处罚；</w:t>
      </w:r>
    </w:p>
    <w:p w14:paraId="699D5D2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32" w:firstLineChars="200"/>
        <w:jc w:val="both"/>
        <w:textAlignment w:val="auto"/>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四</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）其他可能影响公正评审的情形</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p>
    <w:p w14:paraId="47468B6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六</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评标委员会应当按照招标文件规定的评审标准，开展技术评审、商务评审，全面核查投标文件是否满足实质性要求，不得增设招标文件以外的评审条件。</w:t>
      </w:r>
    </w:p>
    <w:p w14:paraId="254A445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七</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 xml:space="preserve">条  </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有下列情形之一的，评标委员会应否决</w:t>
      </w:r>
      <w:r>
        <w:rPr>
          <w:rFonts w:hint="eastAsia" w:cs="Times New Roman"/>
          <w:b w:val="0"/>
          <w:bCs w:val="0"/>
          <w:i w:val="0"/>
          <w:iCs w:val="0"/>
          <w:caps w:val="0"/>
          <w:color w:val="auto"/>
          <w:spacing w:val="0"/>
          <w:sz w:val="32"/>
          <w:szCs w:val="32"/>
          <w:highlight w:val="none"/>
          <w:shd w:val="clear" w:color="auto" w:fill="FFFFFF"/>
          <w:lang w:val="en-US" w:eastAsia="zh-CN"/>
        </w:rPr>
        <w:t>其</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投标：</w:t>
      </w:r>
    </w:p>
    <w:p w14:paraId="0D5DF6A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（一）投标文件未经投标单位盖章和单位负责人签字；</w:t>
      </w:r>
    </w:p>
    <w:p w14:paraId="5EC5C0E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（二）投标联合体没有提交共同投标协议；</w:t>
      </w:r>
    </w:p>
    <w:p w14:paraId="2716CB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（三）投标人不符合国家或者招标文件规定的资格条件；</w:t>
      </w:r>
    </w:p>
    <w:p w14:paraId="38237E8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（四）同一投标人提交两个以上不同的投标文件或者投标报价，但招标文件要求提交备选投标的除外；</w:t>
      </w:r>
    </w:p>
    <w:p w14:paraId="6999F70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（五）投标报价低于成本或者高于招标文件设定的最高投标限价；</w:t>
      </w:r>
    </w:p>
    <w:p w14:paraId="6A000B9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（六）投标文件没有对招标文件的实质性要求和条件作出响应；</w:t>
      </w:r>
    </w:p>
    <w:p w14:paraId="189795D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（七）投标人有串通投标、弄虚作假、行贿等违法行为。</w:t>
      </w:r>
    </w:p>
    <w:p w14:paraId="2AC8612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第二十</w:t>
      </w:r>
      <w:r>
        <w:rPr>
          <w:rFonts w:hint="eastAsia" w:cs="Times New Roman"/>
          <w:b/>
          <w:bCs/>
          <w:i w:val="0"/>
          <w:iCs w:val="0"/>
          <w:caps w:val="0"/>
          <w:color w:val="auto"/>
          <w:spacing w:val="0"/>
          <w:sz w:val="32"/>
          <w:szCs w:val="32"/>
          <w:highlight w:val="none"/>
          <w:shd w:val="clear" w:color="auto" w:fill="FFFFFF"/>
          <w:lang w:val="en-US" w:eastAsia="zh-CN"/>
        </w:rPr>
        <w:t>八</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评标委员会完成评审后，当日形成书面</w:t>
      </w:r>
      <w:r>
        <w:rPr>
          <w:rFonts w:hint="eastAsia" w:cs="Times New Roman"/>
          <w:i w:val="0"/>
          <w:iCs w:val="0"/>
          <w:caps w:val="0"/>
          <w:color w:val="auto"/>
          <w:spacing w:val="0"/>
          <w:sz w:val="32"/>
          <w:szCs w:val="32"/>
          <w:highlight w:val="none"/>
          <w:shd w:val="clear" w:color="auto" w:fill="FFFFFF"/>
          <w:lang w:val="en-US" w:eastAsia="zh-CN"/>
        </w:rPr>
        <w:t>评标报告</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并由全体</w:t>
      </w:r>
      <w:r>
        <w:rPr>
          <w:rFonts w:hint="eastAsia" w:cs="Times New Roman"/>
          <w:i w:val="0"/>
          <w:iCs w:val="0"/>
          <w:caps w:val="0"/>
          <w:color w:val="auto"/>
          <w:spacing w:val="0"/>
          <w:sz w:val="32"/>
          <w:szCs w:val="32"/>
          <w:highlight w:val="none"/>
          <w:shd w:val="clear" w:color="auto" w:fill="FFFFFF"/>
          <w:lang w:val="en-US" w:eastAsia="zh-CN"/>
        </w:rPr>
        <w:t>评标委员会成员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签字确认</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明确</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标候选人名单</w:t>
      </w:r>
      <w:r>
        <w:rPr>
          <w:rFonts w:hint="eastAsia" w:cs="Times New Roman"/>
          <w:i w:val="0"/>
          <w:iCs w:val="0"/>
          <w:caps w:val="0"/>
          <w:color w:val="auto"/>
          <w:spacing w:val="0"/>
          <w:sz w:val="32"/>
          <w:szCs w:val="32"/>
          <w:highlight w:val="none"/>
          <w:shd w:val="clear" w:color="auto" w:fill="FFFFFF"/>
          <w:lang w:val="en-US" w:eastAsia="zh-CN"/>
        </w:rPr>
        <w:t>。</w:t>
      </w:r>
    </w:p>
    <w:p w14:paraId="4790BC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评标委员会成员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持不同意见的，应当书面说明理由并附后。</w:t>
      </w:r>
    </w:p>
    <w:p w14:paraId="794132E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评标委员会成员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拒绝签字且不书面说明理由的，视为同意评审结果</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45BAABA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cs="Times New Roman"/>
          <w:b/>
          <w:bCs/>
          <w:i w:val="0"/>
          <w:iCs w:val="0"/>
          <w:caps w:val="0"/>
          <w:color w:val="auto"/>
          <w:spacing w:val="0"/>
          <w:sz w:val="32"/>
          <w:szCs w:val="32"/>
          <w:highlight w:val="none"/>
          <w:shd w:val="clear" w:color="auto" w:fill="FFFFFF"/>
          <w:lang w:val="en-US" w:eastAsia="zh-CN"/>
        </w:rPr>
        <w:t>二十九</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收到评审报告后应当及时核查，发现错误的依法定程序复核纠正，并于3日内公示中标候选人；因异议、投诉导致中标候选人变更的，招标人可重新招标，或由招标人组织原评标委员会组织复评，重新推荐候选人，重新确定的候选人须再次公示。</w:t>
      </w:r>
    </w:p>
    <w:p w14:paraId="1BEE8EC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第五章  定  标</w:t>
      </w:r>
    </w:p>
    <w:p w14:paraId="0AE0251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定标委员会由招标人依法组建，成员应当符合下列要求：</w:t>
      </w:r>
    </w:p>
    <w:p w14:paraId="6E3F2E9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（一）与投标人无利害关系；</w:t>
      </w:r>
    </w:p>
    <w:p w14:paraId="4BA8C21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（二）人数为</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5</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人及以上单数，招标人单位人员不得少于成员总数的三分之二</w:t>
      </w:r>
      <w:r>
        <w:rPr>
          <w:rFonts w:hint="eastAsia" w:cs="Times New Roman"/>
          <w:i w:val="0"/>
          <w:iCs w:val="0"/>
          <w:caps w:val="0"/>
          <w:color w:val="auto"/>
          <w:spacing w:val="0"/>
          <w:sz w:val="32"/>
          <w:szCs w:val="32"/>
          <w:highlight w:val="none"/>
          <w:shd w:val="clear" w:color="auto" w:fill="FFFFFF"/>
          <w:lang w:val="en-US" w:eastAsia="zh-CN"/>
        </w:rPr>
        <w:t>，其余定标委员会成员由招标人自主邀请</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15C939B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（三）定标委员会名单在中标结果确定前严格保密；</w:t>
      </w:r>
    </w:p>
    <w:p w14:paraId="06AF0B0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（四）实行组长负责制，组长由招标人法定代表人、主要负责人或分管负责人担任。</w:t>
      </w:r>
    </w:p>
    <w:p w14:paraId="783D15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定标委员会成员回避情形同评标委员会回避规定，应主动申报并回避</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3EF22B7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一</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定标遵循质量优先、信用优先、履约优先、合理竞价原则，定标委员会应当在评审推荐的候选人范围内独立择优，不得超出候选人范围确定中标人。</w:t>
      </w:r>
    </w:p>
    <w:p w14:paraId="11E54B3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二</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定标方式由招标文件预先载明，可选用下列方式之一：</w:t>
      </w:r>
    </w:p>
    <w:p w14:paraId="5575BCB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w:t>
      </w:r>
      <w:r>
        <w:rPr>
          <w:rFonts w:hint="eastAsia" w:ascii="仿宋_GB2312" w:hAnsi="仿宋_GB2312" w:eastAsia="仿宋_GB2312" w:cs="仿宋_GB2312"/>
          <w:i w:val="0"/>
          <w:iCs w:val="0"/>
          <w:caps w:val="0"/>
          <w:color w:val="auto"/>
          <w:spacing w:val="0"/>
          <w:sz w:val="32"/>
          <w:szCs w:val="32"/>
          <w:highlight w:val="none"/>
          <w:u w:val="none"/>
          <w:shd w:val="clear" w:color="auto" w:fill="FFFFFF"/>
          <w:lang w:val="en-US" w:eastAsia="zh-CN"/>
        </w:rPr>
        <w:t>票决定标法</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：定标委员会成员根据定标因素对各中标候选人进行综合比较后，以无记名投票方式确定中标人；</w:t>
      </w:r>
    </w:p>
    <w:p w14:paraId="183AA9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w:t>
      </w:r>
      <w:r>
        <w:rPr>
          <w:rFonts w:hint="eastAsia" w:ascii="仿宋_GB2312" w:hAnsi="仿宋_GB2312" w:eastAsia="仿宋_GB2312" w:cs="仿宋_GB2312"/>
          <w:i w:val="0"/>
          <w:iCs w:val="0"/>
          <w:caps w:val="0"/>
          <w:color w:val="auto"/>
          <w:spacing w:val="0"/>
          <w:sz w:val="32"/>
          <w:szCs w:val="32"/>
          <w:highlight w:val="none"/>
          <w:u w:val="none"/>
          <w:shd w:val="clear" w:color="auto" w:fill="FFFFFF"/>
          <w:lang w:val="en-US" w:eastAsia="zh-CN"/>
        </w:rPr>
        <w:t>综合择优定标法</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：将法定定标因素量化为具体评分指标和权重，定标委员会成员按照统一评分标准独立打分，汇总计算得分后，得分最高者确定为中标人；</w:t>
      </w:r>
    </w:p>
    <w:p w14:paraId="78C8A36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w:t>
      </w:r>
      <w:r>
        <w:rPr>
          <w:rFonts w:hint="eastAsia" w:ascii="仿宋_GB2312" w:hAnsi="仿宋_GB2312" w:eastAsia="仿宋_GB2312" w:cs="仿宋_GB2312"/>
          <w:i w:val="0"/>
          <w:iCs w:val="0"/>
          <w:caps w:val="0"/>
          <w:color w:val="auto"/>
          <w:spacing w:val="0"/>
          <w:sz w:val="32"/>
          <w:szCs w:val="32"/>
          <w:highlight w:val="none"/>
          <w:u w:val="none"/>
          <w:shd w:val="clear" w:color="auto" w:fill="FFFFFF"/>
          <w:lang w:val="en-US" w:eastAsia="zh-CN"/>
        </w:rPr>
        <w:t>集体议事定标法</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：由定标委员会进行集体审议、充分讨论，结合项目特点和中标候选人综合表现，直接择优确定中标人</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06B3A3B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（四）招标文件和定标方案规定的其它符合法律法规规定且公平公正的方法。</w:t>
      </w:r>
    </w:p>
    <w:p w14:paraId="518800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本条（一）至（三）</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定标</w:t>
      </w:r>
      <w:r>
        <w:rPr>
          <w:rFonts w:hint="eastAsia" w:cs="Times New Roman"/>
          <w:i w:val="0"/>
          <w:iCs w:val="0"/>
          <w:caps w:val="0"/>
          <w:color w:val="auto"/>
          <w:spacing w:val="0"/>
          <w:sz w:val="32"/>
          <w:szCs w:val="32"/>
          <w:highlight w:val="none"/>
          <w:shd w:val="clear" w:color="auto" w:fill="FFFFFF"/>
          <w:lang w:val="en-US" w:eastAsia="zh-CN"/>
        </w:rPr>
        <w:t>方法</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详见附件。</w:t>
      </w:r>
    </w:p>
    <w:p w14:paraId="230E9B8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三</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 xml:space="preserve">条  </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定标必须包含</w:t>
      </w:r>
      <w:r>
        <w:rPr>
          <w:rFonts w:hint="eastAsia" w:cs="Times New Roman"/>
          <w:b w:val="0"/>
          <w:bCs w:val="0"/>
          <w:i w:val="0"/>
          <w:iCs w:val="0"/>
          <w:caps w:val="0"/>
          <w:color w:val="auto"/>
          <w:spacing w:val="0"/>
          <w:sz w:val="32"/>
          <w:szCs w:val="32"/>
          <w:highlight w:val="none"/>
          <w:shd w:val="clear" w:color="auto" w:fill="FFFFFF"/>
          <w:lang w:val="en-US" w:eastAsia="zh-CN"/>
        </w:rPr>
        <w:t>但不仅限于</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以下因素：履约能力、工程质量、工期保障、信用状况、报价合理性、安全管理方案</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、企业匹配性</w:t>
      </w:r>
      <w:r>
        <w:rPr>
          <w:rFonts w:hint="eastAsia" w:cs="Times New Roman"/>
          <w:b w:val="0"/>
          <w:bCs w:val="0"/>
          <w:i w:val="0"/>
          <w:iCs w:val="0"/>
          <w:caps w:val="0"/>
          <w:color w:val="auto"/>
          <w:spacing w:val="0"/>
          <w:sz w:val="32"/>
          <w:szCs w:val="32"/>
          <w:highlight w:val="none"/>
          <w:shd w:val="clear" w:color="auto" w:fill="FFFFFF"/>
          <w:lang w:val="en-US" w:eastAsia="zh-CN"/>
        </w:rPr>
        <w:t>，但</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严禁将注册地、本地业绩、所有制、企业规模</w:t>
      </w:r>
      <w:r>
        <w:rPr>
          <w:rFonts w:hint="eastAsia" w:cs="Times New Roman"/>
          <w:b w:val="0"/>
          <w:bCs w:val="0"/>
          <w:i w:val="0"/>
          <w:iCs w:val="0"/>
          <w:caps w:val="0"/>
          <w:color w:val="auto"/>
          <w:spacing w:val="0"/>
          <w:sz w:val="32"/>
          <w:szCs w:val="32"/>
          <w:highlight w:val="none"/>
          <w:shd w:val="clear" w:color="auto" w:fill="FFFFFF"/>
          <w:lang w:val="en-US" w:eastAsia="zh-CN"/>
        </w:rPr>
        <w:t>等</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其他无关或影响招投标活动公平性的</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因素</w:t>
      </w:r>
      <w:r>
        <w:rPr>
          <w:rFonts w:hint="eastAsia" w:cs="Times New Roman"/>
          <w:b w:val="0"/>
          <w:bCs w:val="0"/>
          <w:i w:val="0"/>
          <w:iCs w:val="0"/>
          <w:caps w:val="0"/>
          <w:color w:val="auto"/>
          <w:spacing w:val="0"/>
          <w:sz w:val="32"/>
          <w:szCs w:val="32"/>
          <w:highlight w:val="none"/>
          <w:shd w:val="clear" w:color="auto" w:fill="FFFFFF"/>
          <w:lang w:val="en-US" w:eastAsia="zh-CN"/>
        </w:rPr>
        <w:t>设置为定标因素</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p>
    <w:p w14:paraId="7212A3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四</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定标会议应当在</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标候选人公示期满后</w:t>
      </w:r>
      <w:r>
        <w:rPr>
          <w:rFonts w:hint="eastAsia" w:cs="Times New Roman"/>
          <w:i w:val="0"/>
          <w:iCs w:val="0"/>
          <w:caps w:val="0"/>
          <w:color w:val="auto"/>
          <w:spacing w:val="0"/>
          <w:sz w:val="32"/>
          <w:szCs w:val="32"/>
          <w:highlight w:val="none"/>
          <w:shd w:val="clear" w:color="auto" w:fill="FFFFFF"/>
          <w:lang w:val="en-US" w:eastAsia="zh-CN"/>
        </w:rPr>
        <w:t>5</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个工作日内召开，</w:t>
      </w:r>
      <w:r>
        <w:rPr>
          <w:rFonts w:hint="eastAsia" w:cs="Times New Roman"/>
          <w:i w:val="0"/>
          <w:iCs w:val="0"/>
          <w:caps w:val="0"/>
          <w:color w:val="auto"/>
          <w:spacing w:val="0"/>
          <w:sz w:val="32"/>
          <w:szCs w:val="32"/>
          <w:highlight w:val="none"/>
          <w:shd w:val="clear" w:color="auto" w:fill="FFFFFF"/>
          <w:lang w:val="en-US" w:eastAsia="zh-CN"/>
        </w:rPr>
        <w:t>定标会议场所由招标人自行准备或使用乌海市公共资源交易中心统一定标场所，</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会议场所</w:t>
      </w:r>
      <w:r>
        <w:rPr>
          <w:rFonts w:hint="eastAsia" w:cs="Times New Roman"/>
          <w:i w:val="0"/>
          <w:iCs w:val="0"/>
          <w:caps w:val="0"/>
          <w:color w:val="auto"/>
          <w:spacing w:val="0"/>
          <w:sz w:val="32"/>
          <w:szCs w:val="32"/>
          <w:highlight w:val="none"/>
          <w:shd w:val="clear" w:color="auto" w:fill="FFFFFF"/>
          <w:lang w:val="en-US" w:eastAsia="zh-CN"/>
        </w:rPr>
        <w:t>应</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具备全程录音录像</w:t>
      </w:r>
      <w:r>
        <w:rPr>
          <w:rFonts w:hint="eastAsia" w:cs="Times New Roman"/>
          <w:i w:val="0"/>
          <w:iCs w:val="0"/>
          <w:caps w:val="0"/>
          <w:color w:val="auto"/>
          <w:spacing w:val="0"/>
          <w:sz w:val="32"/>
          <w:szCs w:val="32"/>
          <w:highlight w:val="none"/>
          <w:shd w:val="clear" w:color="auto" w:fill="FFFFFF"/>
          <w:lang w:val="en-US" w:eastAsia="zh-CN"/>
        </w:rPr>
        <w:t>、通信管控、监督保障等</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条件，按照下列程序进行：</w:t>
      </w:r>
    </w:p>
    <w:p w14:paraId="68BF277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（一）招标人介绍项目概况、招标及评标情况；</w:t>
      </w:r>
    </w:p>
    <w:p w14:paraId="194C00C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（二）定标委员会组长宣布定标纪律、规则、因素及评审报告核心内容；</w:t>
      </w:r>
    </w:p>
    <w:p w14:paraId="58E3E7A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（三）定标委员会成员查阅投标文件、评审报告、候选人信用信息等资料，招标文件约定答辩的，组织候选人答辩；</w:t>
      </w:r>
    </w:p>
    <w:p w14:paraId="141C84F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（四）</w:t>
      </w:r>
      <w:r>
        <w:rPr>
          <w:rFonts w:hint="eastAsia" w:cs="Times New Roman"/>
          <w:i w:val="0"/>
          <w:iCs w:val="0"/>
          <w:caps w:val="0"/>
          <w:color w:val="auto"/>
          <w:spacing w:val="0"/>
          <w:sz w:val="32"/>
          <w:szCs w:val="32"/>
          <w:highlight w:val="none"/>
          <w:shd w:val="clear" w:color="auto" w:fill="FFFFFF"/>
          <w:lang w:val="en-US" w:eastAsia="zh-CN"/>
        </w:rPr>
        <w:t>定标委员会成员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按规则确定中标人；</w:t>
      </w:r>
    </w:p>
    <w:p w14:paraId="54AD3C7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（五）形成定标报告，由定标委员会成员、监督小组成员签字</w:t>
      </w:r>
      <w:r>
        <w:rPr>
          <w:rFonts w:hint="eastAsia" w:cs="Times New Roman"/>
          <w:i w:val="0"/>
          <w:iCs w:val="0"/>
          <w:caps w:val="0"/>
          <w:color w:val="auto"/>
          <w:spacing w:val="0"/>
          <w:sz w:val="32"/>
          <w:szCs w:val="32"/>
          <w:highlight w:val="none"/>
          <w:shd w:val="clear" w:color="auto" w:fill="FFFFFF"/>
          <w:lang w:val="en-US" w:eastAsia="zh-CN"/>
        </w:rPr>
        <w:t>确认</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631EA25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公示期内收到有效异议、需评标委员会复评调整候选人的，5个工作日定标时限自动顺延，禁止异议未办结前召开定标会。</w:t>
      </w:r>
    </w:p>
    <w:p w14:paraId="5ED82A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定标结果确定后不得擅自更改，由</w:t>
      </w:r>
      <w:r>
        <w:rPr>
          <w:rFonts w:hint="eastAsia" w:cs="Times New Roman"/>
          <w:i w:val="0"/>
          <w:iCs w:val="0"/>
          <w:caps w:val="0"/>
          <w:color w:val="auto"/>
          <w:spacing w:val="0"/>
          <w:sz w:val="32"/>
          <w:szCs w:val="32"/>
          <w:highlight w:val="none"/>
          <w:shd w:val="clear" w:color="auto" w:fill="FFFFFF"/>
          <w:lang w:val="en-US" w:eastAsia="zh-CN"/>
        </w:rPr>
        <w:t>内部、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外部监督小组监督。</w:t>
      </w:r>
    </w:p>
    <w:p w14:paraId="7115357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五</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定标报告应当载明定标委员会成员、监督小组成员、定标时间地点、定标标准方法、定标过程、定标结果；采用票决制的，应当记录投票理由及投票情况；采用择优制的，应当记录</w:t>
      </w:r>
      <w:r>
        <w:rPr>
          <w:rFonts w:hint="eastAsia" w:cs="Times New Roman"/>
          <w:i w:val="0"/>
          <w:iCs w:val="0"/>
          <w:caps w:val="0"/>
          <w:color w:val="auto"/>
          <w:spacing w:val="0"/>
          <w:sz w:val="32"/>
          <w:szCs w:val="32"/>
          <w:highlight w:val="none"/>
          <w:shd w:val="clear" w:color="auto" w:fill="FFFFFF"/>
          <w:lang w:val="en-US" w:eastAsia="zh-CN"/>
        </w:rPr>
        <w:t>中标候选人各项定标因素得分及总分；采用集体议事制的，应当记录定标委员会成员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评价意见及组长推荐理由。</w:t>
      </w:r>
    </w:p>
    <w:p w14:paraId="29A141A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六</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中标人确定后，招标人应当场公</w:t>
      </w:r>
      <w:r>
        <w:rPr>
          <w:rFonts w:hint="eastAsia" w:cs="Times New Roman"/>
          <w:i w:val="0"/>
          <w:iCs w:val="0"/>
          <w:caps w:val="0"/>
          <w:color w:val="auto"/>
          <w:spacing w:val="0"/>
          <w:sz w:val="32"/>
          <w:szCs w:val="32"/>
          <w:highlight w:val="none"/>
          <w:shd w:val="clear" w:color="auto" w:fill="FFFFFF"/>
          <w:lang w:val="en-US" w:eastAsia="zh-CN"/>
        </w:rPr>
        <w:t>布</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中标结果，并在内蒙古公共资源交易中心官方网站发布公示，公示期不少于</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日，公示内容包括中标人名称、投标报价、定标依据、定标报告摘要。</w:t>
      </w:r>
    </w:p>
    <w:p w14:paraId="4CA3ECD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七</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公示无异议的，招标人应当在公示期满后</w:t>
      </w:r>
      <w:r>
        <w:rPr>
          <w:rFonts w:hint="eastAsia" w:cs="Times New Roman"/>
          <w:i w:val="0"/>
          <w:iCs w:val="0"/>
          <w:caps w:val="0"/>
          <w:color w:val="auto"/>
          <w:spacing w:val="0"/>
          <w:sz w:val="32"/>
          <w:szCs w:val="32"/>
          <w:highlight w:val="none"/>
          <w:shd w:val="clear" w:color="auto" w:fill="FFFFFF"/>
          <w:lang w:val="en-US" w:eastAsia="zh-CN"/>
        </w:rPr>
        <w:t>5</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个工作日内发出中标通知书；招标人与中标人应当在中标通知书发出之日起</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30</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日内，按照招标文件和投标文件签订书面合同，不得订立背离合同实质性内容的补充协议。</w:t>
      </w:r>
    </w:p>
    <w:p w14:paraId="665DA4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第三十</w:t>
      </w:r>
      <w:r>
        <w:rPr>
          <w:rFonts w:hint="eastAsia" w:cs="Times New Roman"/>
          <w:b/>
          <w:bCs/>
          <w:i w:val="0"/>
          <w:iCs w:val="0"/>
          <w:caps w:val="0"/>
          <w:color w:val="auto"/>
          <w:spacing w:val="0"/>
          <w:sz w:val="32"/>
          <w:szCs w:val="32"/>
          <w:highlight w:val="none"/>
          <w:shd w:val="clear" w:color="auto" w:fill="FFFFFF"/>
          <w:lang w:val="en-US" w:eastAsia="zh-CN"/>
        </w:rPr>
        <w:t>八</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中标通知书发出后，中标人放弃中标</w:t>
      </w:r>
      <w:r>
        <w:rPr>
          <w:rFonts w:hint="eastAsia" w:cs="Times New Roman"/>
          <w:i w:val="0"/>
          <w:iCs w:val="0"/>
          <w:caps w:val="0"/>
          <w:color w:val="auto"/>
          <w:spacing w:val="0"/>
          <w:sz w:val="32"/>
          <w:szCs w:val="32"/>
          <w:highlight w:val="none"/>
          <w:shd w:val="clear" w:color="auto" w:fill="FFFFFF"/>
          <w:lang w:val="en-US" w:eastAsia="zh-CN"/>
        </w:rPr>
        <w:t>项目的</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，无正当理由不与招标人签订合同的，在签订合同时向招标人提出附加条件或者更改合同实质性内容的，或者拒不提交所要求的履约保证金的，取消其中标资格，投标保证金不予退还</w:t>
      </w:r>
      <w:r>
        <w:rPr>
          <w:rFonts w:hint="eastAsia"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给招标人的损失超过投标保证金数额的，中标人应当对超过部分予以赔偿</w:t>
      </w:r>
      <w:r>
        <w:rPr>
          <w:rFonts w:hint="eastAsia"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没有提交投标保证金的，应当对招标人的损失承担赔偿责任。</w:t>
      </w:r>
    </w:p>
    <w:p w14:paraId="081756C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cs="Times New Roman"/>
          <w:b/>
          <w:bCs/>
          <w:i w:val="0"/>
          <w:iCs w:val="0"/>
          <w:caps w:val="0"/>
          <w:color w:val="auto"/>
          <w:spacing w:val="0"/>
          <w:sz w:val="32"/>
          <w:szCs w:val="32"/>
          <w:highlight w:val="none"/>
          <w:shd w:val="clear" w:color="auto" w:fill="FFFFFF"/>
          <w:lang w:val="en-US" w:eastAsia="zh-CN"/>
        </w:rPr>
        <w:t>三十九</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定标工作完成后，招标人应当将定标全过程纸质、电子、录音录像等资料完整归档，按照档案管理规定留存，接受</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建设行政主管部门</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核查。</w:t>
      </w:r>
    </w:p>
    <w:p w14:paraId="2365107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四十</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定标委员会成员应当客观公正履职，恪守职业道德，保守定标秘密，对个人定标意见承担责任；定标期间不得私下接触投标人，不得收受投标人、中介机构及利害关系人的财物或其他利益。</w:t>
      </w:r>
    </w:p>
    <w:p w14:paraId="72A3CA6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第四十</w:t>
      </w:r>
      <w:r>
        <w:rPr>
          <w:rFonts w:hint="eastAsia" w:cs="Times New Roman"/>
          <w:b/>
          <w:bCs/>
          <w:i w:val="0"/>
          <w:iCs w:val="0"/>
          <w:caps w:val="0"/>
          <w:color w:val="auto"/>
          <w:spacing w:val="0"/>
          <w:sz w:val="32"/>
          <w:szCs w:val="32"/>
          <w:highlight w:val="none"/>
          <w:shd w:val="clear" w:color="auto" w:fill="FFFFFF"/>
          <w:lang w:val="en-US" w:eastAsia="zh-CN"/>
        </w:rPr>
        <w:t>一</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 xml:space="preserve">条  </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定标委员会成员、监督人员不得泄露定标过程、投票意见、评审信息等，违者依法追责。</w:t>
      </w:r>
    </w:p>
    <w:p w14:paraId="22A33F5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657F8A3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第六章  异议与投诉处理</w:t>
      </w:r>
    </w:p>
    <w:p w14:paraId="2B31532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四十</w:t>
      </w:r>
      <w:r>
        <w:rPr>
          <w:rFonts w:hint="eastAsia" w:cs="Times New Roman"/>
          <w:b/>
          <w:bCs/>
          <w:i w:val="0"/>
          <w:iCs w:val="0"/>
          <w:caps w:val="0"/>
          <w:color w:val="auto"/>
          <w:spacing w:val="0"/>
          <w:sz w:val="32"/>
          <w:szCs w:val="32"/>
          <w:highlight w:val="none"/>
          <w:shd w:val="clear" w:color="auto" w:fill="FFFFFF"/>
          <w:lang w:val="en-US" w:eastAsia="zh-CN"/>
        </w:rPr>
        <w:t>二</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投标人或利害关系人对</w:t>
      </w:r>
      <w:r>
        <w:rPr>
          <w:rFonts w:hint="eastAsia" w:cs="Times New Roman"/>
          <w:i w:val="0"/>
          <w:iCs w:val="0"/>
          <w:caps w:val="0"/>
          <w:color w:val="auto"/>
          <w:spacing w:val="0"/>
          <w:sz w:val="32"/>
          <w:szCs w:val="32"/>
          <w:highlight w:val="none"/>
          <w:shd w:val="clear" w:color="auto" w:fill="FFFFFF"/>
          <w:lang w:val="en-US" w:eastAsia="zh-CN"/>
        </w:rPr>
        <w:t>中</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标候选人</w:t>
      </w:r>
      <w:r>
        <w:rPr>
          <w:rFonts w:hint="eastAsia" w:cs="Times New Roman"/>
          <w:i w:val="0"/>
          <w:iCs w:val="0"/>
          <w:caps w:val="0"/>
          <w:color w:val="auto"/>
          <w:spacing w:val="0"/>
          <w:sz w:val="32"/>
          <w:szCs w:val="32"/>
          <w:highlight w:val="none"/>
          <w:shd w:val="clear" w:color="auto" w:fill="FFFFFF"/>
          <w:lang w:val="en-US" w:eastAsia="zh-CN"/>
        </w:rPr>
        <w:t>、中标结果</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有异议的，应当在公示期间向招标人提交书面异议</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投诉须以异议前置为前提，未提异议直接投诉的，不予受理。</w:t>
      </w:r>
    </w:p>
    <w:p w14:paraId="4B5B4C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四十</w:t>
      </w:r>
      <w:r>
        <w:rPr>
          <w:rFonts w:hint="eastAsia" w:cs="Times New Roman"/>
          <w:b/>
          <w:bCs/>
          <w:i w:val="0"/>
          <w:iCs w:val="0"/>
          <w:caps w:val="0"/>
          <w:color w:val="auto"/>
          <w:spacing w:val="0"/>
          <w:sz w:val="32"/>
          <w:szCs w:val="32"/>
          <w:highlight w:val="none"/>
          <w:shd w:val="clear" w:color="auto" w:fill="FFFFFF"/>
          <w:lang w:val="en-US" w:eastAsia="zh-CN"/>
        </w:rPr>
        <w:t>三</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招标人收到书面异议后，应当在3个工作日内作出书面答复：异议成立的，立即暂停招标投标活动，依法重新定标或纠正；异议不成立的，书面说明理由并继续推进流程</w:t>
      </w:r>
      <w:r>
        <w:rPr>
          <w:rFonts w:hint="eastAsia" w:cs="Times New Roman"/>
          <w:i w:val="0"/>
          <w:iCs w:val="0"/>
          <w:caps w:val="0"/>
          <w:color w:val="auto"/>
          <w:spacing w:val="0"/>
          <w:sz w:val="32"/>
          <w:szCs w:val="32"/>
          <w:highlight w:val="none"/>
          <w:shd w:val="clear" w:color="auto" w:fill="FFFFFF"/>
          <w:lang w:val="en-US" w:eastAsia="zh-CN"/>
        </w:rPr>
        <w:t>。处理异议期间需暂停签订施工合同</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35D1446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red"/>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四十</w:t>
      </w:r>
      <w:r>
        <w:rPr>
          <w:rFonts w:hint="eastAsia" w:cs="Times New Roman"/>
          <w:b/>
          <w:bCs/>
          <w:i w:val="0"/>
          <w:iCs w:val="0"/>
          <w:caps w:val="0"/>
          <w:color w:val="auto"/>
          <w:spacing w:val="0"/>
          <w:sz w:val="32"/>
          <w:szCs w:val="32"/>
          <w:highlight w:val="none"/>
          <w:shd w:val="clear" w:color="auto" w:fill="FFFFFF"/>
          <w:lang w:val="en-US" w:eastAsia="zh-CN"/>
        </w:rPr>
        <w:t>四</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eastAsia" w:cs="Times New Roman"/>
          <w:i w:val="0"/>
          <w:iCs w:val="0"/>
          <w:caps w:val="0"/>
          <w:color w:val="auto"/>
          <w:spacing w:val="0"/>
          <w:sz w:val="32"/>
          <w:szCs w:val="32"/>
          <w:highlight w:val="none"/>
          <w:shd w:val="clear" w:color="auto" w:fill="FFFFFF"/>
          <w:lang w:val="en-US" w:eastAsia="zh-CN"/>
        </w:rPr>
        <w:t>异议人对答复不满意的，可在知道或者应当知道之日起10日内向项目所在地住房城乡建设主管部门提出书面投诉。</w:t>
      </w:r>
    </w:p>
    <w:p w14:paraId="727258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行政监督部门处理投诉，有权查阅、复制有关文件、资料，调查有关情况，相关单位和人员应当予以配合。必要时，行政监督部门可以责令暂停招标投标活动。</w:t>
      </w:r>
    </w:p>
    <w:p w14:paraId="7890400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对行政监督部门依法进行的调查，投诉人、被投诉人</w:t>
      </w:r>
      <w:r>
        <w:rPr>
          <w:rFonts w:hint="eastAsia"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评标委员会成员</w:t>
      </w:r>
      <w:r>
        <w:rPr>
          <w:rFonts w:hint="eastAsia" w:cs="Times New Roman"/>
          <w:i w:val="0"/>
          <w:iCs w:val="0"/>
          <w:caps w:val="0"/>
          <w:color w:val="auto"/>
          <w:spacing w:val="0"/>
          <w:sz w:val="32"/>
          <w:szCs w:val="32"/>
          <w:highlight w:val="none"/>
          <w:shd w:val="clear" w:color="auto" w:fill="FFFFFF"/>
          <w:lang w:val="en-US" w:eastAsia="zh-CN"/>
        </w:rPr>
        <w:t>以及定标委员会成员</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等与投诉事项有关的当事人应当予以配合，如实提供有关资料及情况，不得拒绝、隐匿或者伪报。</w:t>
      </w:r>
    </w:p>
    <w:p w14:paraId="44CA226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四十</w:t>
      </w:r>
      <w:r>
        <w:rPr>
          <w:rFonts w:hint="eastAsia" w:cs="Times New Roman"/>
          <w:b/>
          <w:bCs/>
          <w:i w:val="0"/>
          <w:iCs w:val="0"/>
          <w:caps w:val="0"/>
          <w:color w:val="auto"/>
          <w:spacing w:val="0"/>
          <w:sz w:val="32"/>
          <w:szCs w:val="32"/>
          <w:highlight w:val="none"/>
          <w:shd w:val="clear" w:color="auto" w:fill="FFFFFF"/>
          <w:lang w:val="en-US" w:eastAsia="zh-CN"/>
        </w:rPr>
        <w:t>五</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投诉人应当提交规范投诉书，内容包括：</w:t>
      </w:r>
    </w:p>
    <w:p w14:paraId="132FF4D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（一）投诉人名称、地址、有效联系方式；</w:t>
      </w:r>
    </w:p>
    <w:p w14:paraId="5349698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（二）被投诉人名称、地址、有效联系方式；</w:t>
      </w:r>
    </w:p>
    <w:p w14:paraId="610DDB8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（三）投诉事项基本事实；</w:t>
      </w:r>
    </w:p>
    <w:p w14:paraId="7B2245C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（四）相关请求及主张；</w:t>
      </w:r>
    </w:p>
    <w:p w14:paraId="59CA720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（五）有效线索及证明材料</w:t>
      </w:r>
      <w:r>
        <w:rPr>
          <w:rFonts w:hint="eastAsia" w:cs="Times New Roman"/>
          <w:i w:val="0"/>
          <w:iCs w:val="0"/>
          <w:caps w:val="0"/>
          <w:color w:val="auto"/>
          <w:spacing w:val="0"/>
          <w:sz w:val="32"/>
          <w:szCs w:val="32"/>
          <w:highlight w:val="none"/>
          <w:shd w:val="clear" w:color="auto" w:fill="FFFFFF"/>
          <w:lang w:val="en-US" w:eastAsia="zh-CN"/>
        </w:rPr>
        <w:t>。</w:t>
      </w:r>
    </w:p>
    <w:p w14:paraId="04BD1F1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第四十</w:t>
      </w:r>
      <w:r>
        <w:rPr>
          <w:rFonts w:hint="eastAsia" w:cs="Times New Roman"/>
          <w:b/>
          <w:bCs/>
          <w:i w:val="0"/>
          <w:iCs w:val="0"/>
          <w:caps w:val="0"/>
          <w:color w:val="auto"/>
          <w:spacing w:val="0"/>
          <w:sz w:val="32"/>
          <w:szCs w:val="32"/>
          <w:highlight w:val="none"/>
          <w:shd w:val="clear" w:color="auto" w:fill="FFFFFF"/>
          <w:lang w:val="en-US" w:eastAsia="zh-CN"/>
        </w:rPr>
        <w:t>六</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有下列情形之一的投诉，不予受理：</w:t>
      </w:r>
    </w:p>
    <w:p w14:paraId="54C95D3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（一）投诉人非招标投标参与者、与项目无利害关系的；</w:t>
      </w:r>
    </w:p>
    <w:p w14:paraId="0336F58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（二）投诉事项不具体、无有效线索难以查证的；</w:t>
      </w:r>
    </w:p>
    <w:p w14:paraId="4815019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（三）投诉书未署真实姓名、签字，法人投诉未加盖公章及法定代表人签字的；</w:t>
      </w:r>
    </w:p>
    <w:p w14:paraId="157C55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（四）超过投诉时效的；</w:t>
      </w:r>
    </w:p>
    <w:p w14:paraId="7B4BE93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（五）已作出处理决定且无新证据的；</w:t>
      </w:r>
    </w:p>
    <w:p w14:paraId="39987A5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（六）应先提出异议而未提出、已进入行政复议或行政诉讼程序的。</w:t>
      </w:r>
    </w:p>
    <w:p w14:paraId="6D62B77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第四十</w:t>
      </w:r>
      <w:r>
        <w:rPr>
          <w:rFonts w:hint="eastAsia" w:cs="Times New Roman"/>
          <w:b/>
          <w:bCs/>
          <w:i w:val="0"/>
          <w:iCs w:val="0"/>
          <w:caps w:val="0"/>
          <w:color w:val="auto"/>
          <w:spacing w:val="0"/>
          <w:sz w:val="32"/>
          <w:szCs w:val="32"/>
          <w:highlight w:val="none"/>
          <w:shd w:val="clear" w:color="auto" w:fill="FFFFFF"/>
          <w:lang w:val="en-US" w:eastAsia="zh-CN"/>
        </w:rPr>
        <w:t>七</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住建部门应当在收到投诉后3个工作日内决定是否受理，受理后30</w:t>
      </w:r>
      <w:r>
        <w:rPr>
          <w:rFonts w:hint="eastAsia" w:cs="Times New Roman"/>
          <w:i w:val="0"/>
          <w:iCs w:val="0"/>
          <w:caps w:val="0"/>
          <w:color w:val="auto"/>
          <w:spacing w:val="0"/>
          <w:sz w:val="32"/>
          <w:szCs w:val="32"/>
          <w:highlight w:val="none"/>
          <w:shd w:val="clear" w:color="auto" w:fill="FFFFFF"/>
          <w:lang w:val="en-US" w:eastAsia="zh-CN"/>
        </w:rPr>
        <w:t>个工作</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日内作出处理决定并书面告知投诉人。</w:t>
      </w:r>
    </w:p>
    <w:p w14:paraId="60C5AC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第七章  监督管理与法律责任</w:t>
      </w:r>
    </w:p>
    <w:p w14:paraId="4D69F27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第四十</w:t>
      </w:r>
      <w:r>
        <w:rPr>
          <w:rFonts w:hint="eastAsia" w:cs="Times New Roman"/>
          <w:b/>
          <w:bCs/>
          <w:i w:val="0"/>
          <w:iCs w:val="0"/>
          <w:caps w:val="0"/>
          <w:color w:val="auto"/>
          <w:spacing w:val="0"/>
          <w:sz w:val="32"/>
          <w:szCs w:val="32"/>
          <w:highlight w:val="none"/>
          <w:shd w:val="clear" w:color="auto" w:fill="FFFFFF"/>
          <w:lang w:val="en-US" w:eastAsia="zh-CN"/>
        </w:rPr>
        <w:t>八</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eastAsia" w:cs="Times New Roman"/>
          <w:i w:val="0"/>
          <w:iCs w:val="0"/>
          <w:caps w:val="0"/>
          <w:color w:val="auto"/>
          <w:spacing w:val="0"/>
          <w:sz w:val="32"/>
          <w:szCs w:val="32"/>
          <w:highlight w:val="none"/>
          <w:shd w:val="clear" w:color="auto" w:fill="FFFFFF"/>
          <w:lang w:val="en-US" w:eastAsia="zh-CN"/>
        </w:rPr>
        <w:t>市、</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区住房和城乡建设主管部门负责本行政区域内评定分离项目全过程监督，依法查处违法违规行为，维护招标投标市场秩序。</w:t>
      </w:r>
    </w:p>
    <w:p w14:paraId="6BCCC4B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cs="Times New Roman"/>
          <w:b/>
          <w:bCs/>
          <w:i w:val="0"/>
          <w:iCs w:val="0"/>
          <w:caps w:val="0"/>
          <w:color w:val="auto"/>
          <w:spacing w:val="0"/>
          <w:sz w:val="32"/>
          <w:szCs w:val="32"/>
          <w:highlight w:val="none"/>
          <w:shd w:val="clear" w:color="auto" w:fill="FFFFFF"/>
          <w:lang w:val="en-US" w:eastAsia="zh-CN"/>
        </w:rPr>
        <w:t>四十九</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人是评定分离工作第一责任主体，对招标、开标、评标、定标全过程负责。招标人应当建立集体研究、合规审查等决策机制，强化内部监督；实行分事行权、分岗设权、分级授权，完善内部控制；鼓励建立招标绩效评价机制与专业化队伍，将招投标合规性、交易结果、履约绩效与履职考核挂钩。</w:t>
      </w:r>
    </w:p>
    <w:p w14:paraId="31A8A89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招标人不具备相应能力的，可委托符合条件的代建单位组织招标，或提请上级控股（管理）单位编制定标方案、组织定标工作。</w:t>
      </w:r>
    </w:p>
    <w:p w14:paraId="5504DC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五十</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评标委员会未依法履职的，依据自治区评标专家管理规定处理；涉嫌违法犯罪的，移送司法机关。</w:t>
      </w:r>
    </w:p>
    <w:p w14:paraId="361A030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五十</w:t>
      </w:r>
      <w:r>
        <w:rPr>
          <w:rFonts w:hint="eastAsia" w:cs="Times New Roman"/>
          <w:b/>
          <w:bCs/>
          <w:i w:val="0"/>
          <w:iCs w:val="0"/>
          <w:caps w:val="0"/>
          <w:color w:val="auto"/>
          <w:spacing w:val="0"/>
          <w:sz w:val="32"/>
          <w:szCs w:val="32"/>
          <w:highlight w:val="none"/>
          <w:shd w:val="clear" w:color="auto" w:fill="FFFFFF"/>
          <w:lang w:val="en-US" w:eastAsia="zh-CN"/>
        </w:rPr>
        <w:t>一</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招标代理机构存在违法违规行为的，纳入信用评价系统。</w:t>
      </w:r>
    </w:p>
    <w:p w14:paraId="7794CAC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第五十</w:t>
      </w:r>
      <w:r>
        <w:rPr>
          <w:rFonts w:hint="eastAsia" w:cs="Times New Roman"/>
          <w:b/>
          <w:bCs/>
          <w:i w:val="0"/>
          <w:iCs w:val="0"/>
          <w:caps w:val="0"/>
          <w:color w:val="auto"/>
          <w:spacing w:val="0"/>
          <w:sz w:val="32"/>
          <w:szCs w:val="32"/>
          <w:highlight w:val="none"/>
          <w:shd w:val="clear" w:color="auto" w:fill="FFFFFF"/>
          <w:lang w:val="en-US" w:eastAsia="zh-CN"/>
        </w:rPr>
        <w:t>二</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招标人必须建立评定分离廉政承诺制，所有参与人员签订廉政责任书，严防利益输送。</w:t>
      </w:r>
    </w:p>
    <w:p w14:paraId="7713006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1A23ED9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黑体" w:cs="Times New Roman"/>
          <w:i w:val="0"/>
          <w:iCs w:val="0"/>
          <w:caps w:val="0"/>
          <w:color w:val="auto"/>
          <w:spacing w:val="0"/>
          <w:sz w:val="32"/>
          <w:szCs w:val="32"/>
          <w:highlight w:val="none"/>
          <w:shd w:val="clear" w:color="auto" w:fill="FFFFFF"/>
          <w:lang w:val="en-US" w:eastAsia="zh-CN"/>
        </w:rPr>
        <w:t>第八章  附  则</w:t>
      </w:r>
    </w:p>
    <w:p w14:paraId="43B5F9F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五十</w:t>
      </w:r>
      <w:r>
        <w:rPr>
          <w:rFonts w:hint="eastAsia" w:cs="Times New Roman"/>
          <w:b/>
          <w:bCs/>
          <w:i w:val="0"/>
          <w:iCs w:val="0"/>
          <w:caps w:val="0"/>
          <w:color w:val="auto"/>
          <w:spacing w:val="0"/>
          <w:sz w:val="32"/>
          <w:szCs w:val="32"/>
          <w:highlight w:val="none"/>
          <w:shd w:val="clear" w:color="auto" w:fill="FFFFFF"/>
          <w:lang w:val="en-US" w:eastAsia="zh-CN"/>
        </w:rPr>
        <w:t>三</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本办法自发布之日起试行，试行期限两年。</w:t>
      </w:r>
    </w:p>
    <w:p w14:paraId="1C64D36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第</w:t>
      </w:r>
      <w:r>
        <w:rPr>
          <w:rFonts w:hint="eastAsia" w:ascii="Times New Roman" w:hAnsi="Times New Roman" w:eastAsia="仿宋_GB2312" w:cs="Times New Roman"/>
          <w:b/>
          <w:bCs/>
          <w:i w:val="0"/>
          <w:iCs w:val="0"/>
          <w:caps w:val="0"/>
          <w:color w:val="auto"/>
          <w:spacing w:val="0"/>
          <w:sz w:val="32"/>
          <w:szCs w:val="32"/>
          <w:highlight w:val="none"/>
          <w:shd w:val="clear" w:color="auto" w:fill="FFFFFF"/>
          <w:lang w:val="en-US" w:eastAsia="zh-CN"/>
        </w:rPr>
        <w:t>五十</w:t>
      </w:r>
      <w:r>
        <w:rPr>
          <w:rFonts w:hint="eastAsia" w:cs="Times New Roman"/>
          <w:b/>
          <w:bCs/>
          <w:i w:val="0"/>
          <w:iCs w:val="0"/>
          <w:caps w:val="0"/>
          <w:color w:val="auto"/>
          <w:spacing w:val="0"/>
          <w:sz w:val="32"/>
          <w:szCs w:val="32"/>
          <w:highlight w:val="none"/>
          <w:shd w:val="clear" w:color="auto" w:fill="FFFFFF"/>
          <w:lang w:val="en-US" w:eastAsia="zh-CN"/>
        </w:rPr>
        <w:t>四</w:t>
      </w:r>
      <w:r>
        <w:rPr>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条</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 xml:space="preserve">  本市原有规定与本办法不一致的，以本办法为准；国家、自治区出台新规定的，从其规定</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w:t>
      </w:r>
    </w:p>
    <w:p w14:paraId="7AD44AA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3BFEA62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771D342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firstLine="632" w:firstLineChars="2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附件：1.定标委员会组建情况登记表</w:t>
      </w:r>
    </w:p>
    <w:p w14:paraId="64E660A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1580" w:firstLineChars="50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2.</w:t>
      </w:r>
      <w:r>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t>定标报告</w:t>
      </w:r>
    </w:p>
    <w:p w14:paraId="771A572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1580" w:firstLineChars="50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pPr>
      <w:r>
        <w:rPr>
          <w:rFonts w:hint="eastAsia" w:cs="Times New Roman"/>
          <w:i w:val="0"/>
          <w:iCs w:val="0"/>
          <w:caps w:val="0"/>
          <w:color w:val="auto"/>
          <w:spacing w:val="0"/>
          <w:sz w:val="32"/>
          <w:szCs w:val="32"/>
          <w:highlight w:val="none"/>
          <w:shd w:val="clear" w:color="auto" w:fill="FFFFFF"/>
          <w:lang w:val="en-US" w:eastAsia="zh-CN"/>
        </w:rPr>
        <w:t>3.廉政承诺书</w:t>
      </w:r>
    </w:p>
    <w:p w14:paraId="1054F17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1580" w:firstLineChars="500"/>
        <w:jc w:val="both"/>
        <w:textAlignment w:val="auto"/>
        <w:rPr>
          <w:rFonts w:hint="default" w:cs="Times New Roman"/>
          <w:i w:val="0"/>
          <w:iCs w:val="0"/>
          <w:caps w:val="0"/>
          <w:color w:val="auto"/>
          <w:spacing w:val="0"/>
          <w:sz w:val="32"/>
          <w:szCs w:val="32"/>
          <w:highlight w:val="none"/>
          <w:shd w:val="clear" w:color="auto" w:fill="FFFFFF"/>
          <w:lang w:val="en-US" w:eastAsia="zh-CN"/>
        </w:rPr>
        <w:sectPr>
          <w:footerReference r:id="rId3" w:type="default"/>
          <w:footerReference r:id="rId4" w:type="even"/>
          <w:pgSz w:w="11906" w:h="16838"/>
          <w:pgMar w:top="2098" w:right="1474" w:bottom="1984" w:left="1587" w:header="851" w:footer="1417" w:gutter="0"/>
          <w:pgNumType w:fmt="decimal"/>
          <w:cols w:space="0" w:num="1"/>
          <w:rtlGutter w:val="0"/>
          <w:docGrid w:type="linesAndChars" w:linePitch="579" w:charSpace="-842"/>
        </w:sectPr>
      </w:pPr>
      <w:r>
        <w:rPr>
          <w:rFonts w:hint="eastAsia" w:cs="Times New Roman"/>
          <w:i w:val="0"/>
          <w:iCs w:val="0"/>
          <w:caps w:val="0"/>
          <w:color w:val="auto"/>
          <w:spacing w:val="0"/>
          <w:sz w:val="32"/>
          <w:szCs w:val="32"/>
          <w:highlight w:val="none"/>
          <w:shd w:val="clear" w:color="auto" w:fill="FFFFFF"/>
          <w:lang w:val="en-US" w:eastAsia="zh-CN"/>
        </w:rPr>
        <w:t>4.</w:t>
      </w:r>
      <w:r>
        <w:rPr>
          <w:rFonts w:hint="default" w:cs="Times New Roman"/>
          <w:i w:val="0"/>
          <w:iCs w:val="0"/>
          <w:caps w:val="0"/>
          <w:color w:val="auto"/>
          <w:spacing w:val="0"/>
          <w:sz w:val="32"/>
          <w:szCs w:val="32"/>
          <w:highlight w:val="none"/>
          <w:shd w:val="clear" w:color="auto" w:fill="FFFFFF"/>
          <w:lang w:val="en-US" w:eastAsia="zh-CN"/>
        </w:rPr>
        <w:t>定标方法</w:t>
      </w:r>
    </w:p>
    <w:p w14:paraId="0F6002A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黑体" w:hAnsi="黑体" w:eastAsia="黑体" w:cs="黑体"/>
          <w:i w:val="0"/>
          <w:iCs w:val="0"/>
          <w:caps w:val="0"/>
          <w:color w:val="auto"/>
          <w:spacing w:val="0"/>
          <w:sz w:val="32"/>
          <w:szCs w:val="32"/>
          <w:highlight w:val="none"/>
          <w:shd w:val="clear" w:color="auto" w:fill="FFFFFF"/>
          <w:lang w:val="en-US" w:eastAsia="zh-CN"/>
        </w:rPr>
      </w:pPr>
      <w:r>
        <w:rPr>
          <w:rFonts w:hint="eastAsia" w:ascii="黑体" w:hAnsi="黑体" w:eastAsia="黑体" w:cs="黑体"/>
          <w:i w:val="0"/>
          <w:iCs w:val="0"/>
          <w:caps w:val="0"/>
          <w:color w:val="auto"/>
          <w:spacing w:val="0"/>
          <w:sz w:val="32"/>
          <w:szCs w:val="32"/>
          <w:highlight w:val="none"/>
          <w:shd w:val="clear" w:color="auto" w:fill="FFFFFF"/>
          <w:lang w:val="en-US" w:eastAsia="zh-CN"/>
        </w:rPr>
        <w:t>附件1</w:t>
      </w:r>
    </w:p>
    <w:p w14:paraId="1186049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07F73B8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shd w:val="clear" w:color="auto" w:fill="FFFFFF"/>
          <w:lang w:val="en-US" w:eastAsia="zh-CN"/>
        </w:rPr>
        <w:t>定标委员会组建情况登记表</w:t>
      </w:r>
    </w:p>
    <w:p w14:paraId="497CB31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FFFFFF"/>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332"/>
        <w:gridCol w:w="3487"/>
        <w:gridCol w:w="2175"/>
        <w:gridCol w:w="1194"/>
      </w:tblGrid>
      <w:tr w14:paraId="4164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tcPr>
          <w:p w14:paraId="471E7D2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项目名称</w:t>
            </w:r>
          </w:p>
        </w:tc>
        <w:tc>
          <w:tcPr>
            <w:tcW w:w="6856" w:type="dxa"/>
            <w:gridSpan w:val="3"/>
          </w:tcPr>
          <w:p w14:paraId="0DF6B50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2265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tcPr>
          <w:p w14:paraId="079E2C41">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招标人</w:t>
            </w:r>
          </w:p>
        </w:tc>
        <w:tc>
          <w:tcPr>
            <w:tcW w:w="6856" w:type="dxa"/>
            <w:gridSpan w:val="3"/>
          </w:tcPr>
          <w:p w14:paraId="4A2B3E7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3DB2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tcPr>
          <w:p w14:paraId="1504A84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招标代理机构</w:t>
            </w:r>
          </w:p>
        </w:tc>
        <w:tc>
          <w:tcPr>
            <w:tcW w:w="6856" w:type="dxa"/>
            <w:gridSpan w:val="3"/>
          </w:tcPr>
          <w:p w14:paraId="0E48313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3EA3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5" w:type="dxa"/>
            <w:gridSpan w:val="2"/>
          </w:tcPr>
          <w:p w14:paraId="5AA8530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定标时间</w:t>
            </w:r>
          </w:p>
        </w:tc>
        <w:tc>
          <w:tcPr>
            <w:tcW w:w="6856" w:type="dxa"/>
            <w:gridSpan w:val="3"/>
          </w:tcPr>
          <w:p w14:paraId="10CDEB1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0198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tcPr>
          <w:p w14:paraId="745ECD4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定标委员会成员情况</w:t>
            </w:r>
          </w:p>
        </w:tc>
      </w:tr>
      <w:tr w14:paraId="4417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0CE2345A">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序号</w:t>
            </w:r>
          </w:p>
        </w:tc>
        <w:tc>
          <w:tcPr>
            <w:tcW w:w="1332" w:type="dxa"/>
            <w:vAlign w:val="center"/>
          </w:tcPr>
          <w:p w14:paraId="597E894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姓名</w:t>
            </w:r>
          </w:p>
        </w:tc>
        <w:tc>
          <w:tcPr>
            <w:tcW w:w="3487" w:type="dxa"/>
            <w:vAlign w:val="center"/>
          </w:tcPr>
          <w:p w14:paraId="4FCE079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工作单位及职务</w:t>
            </w:r>
          </w:p>
        </w:tc>
        <w:tc>
          <w:tcPr>
            <w:tcW w:w="2175" w:type="dxa"/>
            <w:vAlign w:val="center"/>
          </w:tcPr>
          <w:p w14:paraId="6F48CD2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是否为组长</w:t>
            </w:r>
          </w:p>
        </w:tc>
        <w:tc>
          <w:tcPr>
            <w:tcW w:w="1194" w:type="dxa"/>
            <w:vAlign w:val="center"/>
          </w:tcPr>
          <w:p w14:paraId="250798E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其他</w:t>
            </w:r>
          </w:p>
        </w:tc>
      </w:tr>
      <w:tr w14:paraId="61CE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6BC9581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1</w:t>
            </w:r>
          </w:p>
        </w:tc>
        <w:tc>
          <w:tcPr>
            <w:tcW w:w="1332" w:type="dxa"/>
            <w:vAlign w:val="center"/>
          </w:tcPr>
          <w:p w14:paraId="1B8EC2A8">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67177C3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28ED8982">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410456F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3207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3AD8A65E">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2</w:t>
            </w:r>
          </w:p>
        </w:tc>
        <w:tc>
          <w:tcPr>
            <w:tcW w:w="1332" w:type="dxa"/>
            <w:vAlign w:val="center"/>
          </w:tcPr>
          <w:p w14:paraId="169197B6">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4BC89D8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16FC8D9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549A822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7F78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54AB01A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3</w:t>
            </w:r>
          </w:p>
        </w:tc>
        <w:tc>
          <w:tcPr>
            <w:tcW w:w="1332" w:type="dxa"/>
            <w:vAlign w:val="center"/>
          </w:tcPr>
          <w:p w14:paraId="01F2367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5EECAD4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6757F1D1">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67B0B99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37B1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43AF7B9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4</w:t>
            </w:r>
          </w:p>
        </w:tc>
        <w:tc>
          <w:tcPr>
            <w:tcW w:w="1332" w:type="dxa"/>
            <w:vAlign w:val="center"/>
          </w:tcPr>
          <w:p w14:paraId="4BA83A0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0F66E909">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4897A97A">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2D77A99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6F9F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0154AB40">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5</w:t>
            </w:r>
          </w:p>
        </w:tc>
        <w:tc>
          <w:tcPr>
            <w:tcW w:w="1332" w:type="dxa"/>
            <w:vAlign w:val="center"/>
          </w:tcPr>
          <w:p w14:paraId="072EAC4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543EB13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443B1409">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27EF79AE">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042A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511E761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6</w:t>
            </w:r>
          </w:p>
        </w:tc>
        <w:tc>
          <w:tcPr>
            <w:tcW w:w="1332" w:type="dxa"/>
            <w:vAlign w:val="center"/>
          </w:tcPr>
          <w:p w14:paraId="19EE0E93">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07581BE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3077FB02">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49D19D01">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5AD4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64499EE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7</w:t>
            </w:r>
          </w:p>
        </w:tc>
        <w:tc>
          <w:tcPr>
            <w:tcW w:w="1332" w:type="dxa"/>
            <w:vAlign w:val="center"/>
          </w:tcPr>
          <w:p w14:paraId="58EF0A8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2BA6BE56">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356E9843">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0945852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11D9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1BED62C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8</w:t>
            </w:r>
          </w:p>
        </w:tc>
        <w:tc>
          <w:tcPr>
            <w:tcW w:w="1332" w:type="dxa"/>
            <w:vAlign w:val="center"/>
          </w:tcPr>
          <w:p w14:paraId="1DA7BBA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6B16FB76">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4B6147B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445752A8">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6171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vAlign w:val="center"/>
          </w:tcPr>
          <w:p w14:paraId="182553DA">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9</w:t>
            </w:r>
          </w:p>
        </w:tc>
        <w:tc>
          <w:tcPr>
            <w:tcW w:w="1332" w:type="dxa"/>
            <w:vAlign w:val="center"/>
          </w:tcPr>
          <w:p w14:paraId="275C59A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3487" w:type="dxa"/>
            <w:vAlign w:val="center"/>
          </w:tcPr>
          <w:p w14:paraId="616BA4A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2175" w:type="dxa"/>
            <w:vAlign w:val="center"/>
          </w:tcPr>
          <w:p w14:paraId="79E1789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c>
          <w:tcPr>
            <w:tcW w:w="1194" w:type="dxa"/>
            <w:vAlign w:val="center"/>
          </w:tcPr>
          <w:p w14:paraId="0C31486E">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center"/>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p>
        </w:tc>
      </w:tr>
      <w:tr w14:paraId="2F7C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tcPr>
          <w:p w14:paraId="710F173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招标代理机构（签字</w:t>
            </w:r>
            <w:r>
              <w:rPr>
                <w:rFonts w:hint="eastAsia" w:cs="Times New Roman"/>
                <w:i w:val="0"/>
                <w:iCs w:val="0"/>
                <w:caps w:val="0"/>
                <w:color w:val="auto"/>
                <w:spacing w:val="0"/>
                <w:sz w:val="32"/>
                <w:szCs w:val="32"/>
                <w:highlight w:val="none"/>
                <w:shd w:val="clear" w:color="auto" w:fill="FFFFFF"/>
                <w:vertAlign w:val="baseline"/>
                <w:lang w:val="en-US" w:eastAsia="zh-CN"/>
              </w:rPr>
              <w:t>、盖章</w:t>
            </w: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            时间：</w:t>
            </w:r>
          </w:p>
        </w:tc>
      </w:tr>
      <w:tr w14:paraId="1C63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9061" w:type="dxa"/>
            <w:gridSpan w:val="5"/>
          </w:tcPr>
          <w:p w14:paraId="1A85230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600" w:lineRule="exact"/>
              <w:ind w:right="0" w:rightChars="0"/>
              <w:jc w:val="left"/>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pPr>
            <w:r>
              <w:rPr>
                <w:rFonts w:hint="eastAsia" w:ascii="Times New Roman" w:hAnsi="Times New Roman" w:eastAsia="仿宋_GB2312" w:cs="Times New Roman"/>
                <w:i w:val="0"/>
                <w:iCs w:val="0"/>
                <w:caps w:val="0"/>
                <w:color w:val="auto"/>
                <w:spacing w:val="0"/>
                <w:sz w:val="32"/>
                <w:szCs w:val="32"/>
                <w:highlight w:val="none"/>
                <w:shd w:val="clear" w:color="auto" w:fill="FFFFFF"/>
                <w:vertAlign w:val="baseline"/>
                <w:lang w:val="en-US" w:eastAsia="zh-CN"/>
              </w:rPr>
              <w:t xml:space="preserve">内部监督小组：                                         外部监督小组：                                         </w:t>
            </w:r>
          </w:p>
        </w:tc>
      </w:tr>
    </w:tbl>
    <w:p w14:paraId="73F2584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sectPr>
          <w:pgSz w:w="11906" w:h="16838"/>
          <w:pgMar w:top="2098" w:right="1474" w:bottom="1984" w:left="1587" w:header="851" w:footer="992" w:gutter="0"/>
          <w:pgNumType w:fmt="decimal"/>
          <w:cols w:space="720" w:num="1"/>
          <w:docGrid w:type="lines" w:linePitch="312" w:charSpace="0"/>
        </w:sectPr>
      </w:pPr>
    </w:p>
    <w:p w14:paraId="5F79F8D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黑体" w:hAnsi="黑体" w:eastAsia="黑体" w:cs="黑体"/>
          <w:i w:val="0"/>
          <w:iCs w:val="0"/>
          <w:caps w:val="0"/>
          <w:color w:val="auto"/>
          <w:spacing w:val="0"/>
          <w:sz w:val="32"/>
          <w:szCs w:val="32"/>
          <w:highlight w:val="none"/>
          <w:shd w:val="clear" w:color="auto" w:fill="FFFFFF"/>
          <w:lang w:val="en-US" w:eastAsia="zh-CN"/>
        </w:rPr>
      </w:pPr>
      <w:r>
        <w:rPr>
          <w:rFonts w:hint="eastAsia" w:ascii="黑体" w:hAnsi="黑体" w:eastAsia="黑体" w:cs="黑体"/>
          <w:i w:val="0"/>
          <w:iCs w:val="0"/>
          <w:caps w:val="0"/>
          <w:color w:val="auto"/>
          <w:spacing w:val="0"/>
          <w:sz w:val="32"/>
          <w:szCs w:val="32"/>
          <w:highlight w:val="none"/>
          <w:shd w:val="clear" w:color="auto" w:fill="FFFFFF"/>
          <w:lang w:val="en-US" w:eastAsia="zh-CN"/>
        </w:rPr>
        <w:t>附件2</w:t>
      </w:r>
    </w:p>
    <w:p w14:paraId="51BF534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73D2E36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640" w:lineRule="exact"/>
        <w:ind w:right="0" w:rightChars="0"/>
        <w:jc w:val="right"/>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（项目编号：）</w:t>
      </w:r>
    </w:p>
    <w:p w14:paraId="57A7271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307507C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52D42A9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jc w:val="both"/>
        <w:textAlignment w:val="auto"/>
        <w:rPr>
          <w:rFonts w:hint="eastAsia" w:ascii="Times New Roman" w:hAnsi="Times New Roman" w:eastAsia="仿宋_GB2312" w:cs="Times New Roman"/>
          <w:i w:val="0"/>
          <w:iCs w:val="0"/>
          <w:caps w:val="0"/>
          <w:color w:val="auto"/>
          <w:spacing w:val="0"/>
          <w:sz w:val="32"/>
          <w:szCs w:val="32"/>
          <w:highlight w:val="none"/>
          <w:shd w:val="clear" w:color="auto" w:fill="FFFFFF"/>
          <w:lang w:val="en-US" w:eastAsia="zh-CN"/>
        </w:rPr>
      </w:pPr>
    </w:p>
    <w:p w14:paraId="708BA3A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left"/>
        <w:textAlignment w:val="auto"/>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u w:val="single"/>
          <w:shd w:val="clear" w:color="auto" w:fill="FFFFFF"/>
          <w:lang w:val="en-US" w:eastAsia="zh-CN"/>
        </w:rPr>
        <w:t xml:space="preserve">                                    </w:t>
      </w:r>
      <w:r>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t>项目</w:t>
      </w:r>
    </w:p>
    <w:p w14:paraId="1D0743A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t>项目定标报告</w:t>
      </w:r>
    </w:p>
    <w:p w14:paraId="1E26694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1077C1F6">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0A53F73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24B99D7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4EE1370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3E6394C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楷体_GB2312" w:hAnsi="楷体_GB2312" w:eastAsia="楷体_GB2312" w:cs="楷体_GB2312"/>
          <w:i w:val="0"/>
          <w:iCs w:val="0"/>
          <w:caps w:val="0"/>
          <w:color w:val="auto"/>
          <w:spacing w:val="0"/>
          <w:sz w:val="44"/>
          <w:szCs w:val="44"/>
          <w:highlight w:val="none"/>
          <w:u w:val="none"/>
          <w:shd w:val="clear" w:color="auto" w:fill="FFFFFF"/>
          <w:lang w:val="en-US" w:eastAsia="zh-CN"/>
        </w:rPr>
      </w:pPr>
    </w:p>
    <w:p w14:paraId="3FDE839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招标人（签章）：</w:t>
      </w:r>
    </w:p>
    <w:p w14:paraId="17E4CF5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定标委员会组长（签字）：</w:t>
      </w:r>
    </w:p>
    <w:p w14:paraId="20ED775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left="0" w:leftChars="0" w:right="0" w:rightChars="0" w:firstLine="2240" w:firstLineChars="700"/>
        <w:jc w:val="both"/>
        <w:textAlignment w:val="auto"/>
        <w:rPr>
          <w:rFonts w:hint="default" w:ascii="楷体_GB2312" w:hAnsi="楷体_GB2312" w:eastAsia="楷体_GB2312" w:cs="楷体_GB2312"/>
          <w:i w:val="0"/>
          <w:iCs w:val="0"/>
          <w:caps w:val="0"/>
          <w:color w:val="auto"/>
          <w:spacing w:val="0"/>
          <w:sz w:val="32"/>
          <w:szCs w:val="32"/>
          <w:highlight w:val="none"/>
          <w:u w:val="none"/>
          <w:shd w:val="clear" w:color="auto" w:fill="FFFFFF"/>
          <w:lang w:val="en-US" w:eastAsia="zh-CN"/>
        </w:rPr>
        <w:sectPr>
          <w:pgSz w:w="11906" w:h="16838"/>
          <w:pgMar w:top="2098" w:right="1474" w:bottom="1984" w:left="1587" w:header="851" w:footer="992" w:gutter="0"/>
          <w:pgNumType w:fmt="decimal"/>
          <w:cols w:space="720" w:num="1"/>
          <w:docGrid w:type="lines" w:linePitch="312" w:charSpace="0"/>
        </w:sect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定标时间：</w:t>
      </w:r>
      <w:r>
        <w:rPr>
          <w:rFonts w:hint="eastAsia" w:ascii="楷体_GB2312" w:hAnsi="楷体_GB2312" w:eastAsia="楷体_GB2312" w:cs="楷体_GB2312"/>
          <w:i w:val="0"/>
          <w:iCs w:val="0"/>
          <w:caps w:val="0"/>
          <w:color w:val="auto"/>
          <w:spacing w:val="0"/>
          <w:sz w:val="32"/>
          <w:szCs w:val="32"/>
          <w:highlight w:val="none"/>
          <w:u w:val="single"/>
          <w:shd w:val="clear" w:color="auto" w:fill="FFFFFF"/>
          <w:lang w:val="en-US" w:eastAsia="zh-CN"/>
        </w:rPr>
        <w:t xml:space="preserve">    </w:t>
      </w: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年</w:t>
      </w:r>
      <w:r>
        <w:rPr>
          <w:rFonts w:hint="eastAsia" w:ascii="楷体_GB2312" w:hAnsi="楷体_GB2312" w:eastAsia="楷体_GB2312" w:cs="楷体_GB2312"/>
          <w:i w:val="0"/>
          <w:iCs w:val="0"/>
          <w:caps w:val="0"/>
          <w:strike w:val="0"/>
          <w:dstrike w:val="0"/>
          <w:color w:val="auto"/>
          <w:spacing w:val="0"/>
          <w:sz w:val="32"/>
          <w:szCs w:val="32"/>
          <w:highlight w:val="none"/>
          <w:u w:val="single"/>
          <w:shd w:val="clear" w:color="auto" w:fill="FFFFFF"/>
          <w:lang w:val="en-US" w:eastAsia="zh-CN"/>
        </w:rPr>
        <w:t xml:space="preserve">    </w:t>
      </w: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月</w:t>
      </w:r>
      <w:r>
        <w:rPr>
          <w:rFonts w:hint="eastAsia" w:ascii="楷体_GB2312" w:hAnsi="楷体_GB2312" w:eastAsia="楷体_GB2312" w:cs="楷体_GB2312"/>
          <w:i w:val="0"/>
          <w:iCs w:val="0"/>
          <w:caps w:val="0"/>
          <w:color w:val="auto"/>
          <w:spacing w:val="0"/>
          <w:sz w:val="32"/>
          <w:szCs w:val="32"/>
          <w:highlight w:val="none"/>
          <w:u w:val="single"/>
          <w:shd w:val="clear" w:color="auto" w:fill="FFFFFF"/>
          <w:lang w:val="en-US" w:eastAsia="zh-CN"/>
        </w:rPr>
        <w:t xml:space="preserve">    </w:t>
      </w: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日</w:t>
      </w:r>
    </w:p>
    <w:p w14:paraId="110C6C6F">
      <w:pPr>
        <w:keepNext w:val="0"/>
        <w:keepLines w:val="0"/>
        <w:widowControl w:val="0"/>
        <w:suppressLineNumbers w:val="0"/>
        <w:spacing w:before="0" w:beforeAutospacing="0" w:after="0" w:afterAutospacing="0" w:line="579" w:lineRule="exact"/>
        <w:ind w:left="0" w:right="0"/>
        <w:jc w:val="center"/>
        <w:rPr>
          <w:rFonts w:hint="default" w:ascii="Times New Roman" w:hAnsi="Times New Roman" w:eastAsia="方正小标宋简体" w:cs="Times New Roman"/>
          <w:color w:val="000000"/>
          <w:spacing w:val="0"/>
          <w:kern w:val="2"/>
          <w:sz w:val="44"/>
          <w:szCs w:val="44"/>
          <w:highlight w:val="none"/>
        </w:rPr>
      </w:pPr>
      <w:r>
        <w:rPr>
          <w:rFonts w:hint="default" w:ascii="Times New Roman" w:hAnsi="Times New Roman" w:eastAsia="方正小标宋简体" w:cs="Times New Roman"/>
          <w:color w:val="000000"/>
          <w:spacing w:val="0"/>
          <w:kern w:val="2"/>
          <w:sz w:val="44"/>
          <w:szCs w:val="44"/>
          <w:highlight w:val="none"/>
          <w:lang w:val="en-US" w:eastAsia="zh-CN" w:bidi="ar"/>
        </w:rPr>
        <w:t>定标报告</w:t>
      </w:r>
    </w:p>
    <w:p w14:paraId="0E61C1E8">
      <w:pPr>
        <w:keepNext w:val="0"/>
        <w:keepLines w:val="0"/>
        <w:widowControl w:val="0"/>
        <w:suppressLineNumbers w:val="0"/>
        <w:spacing w:before="0" w:beforeAutospacing="0" w:after="0" w:afterAutospacing="0" w:line="579" w:lineRule="exact"/>
        <w:ind w:left="0" w:right="0"/>
        <w:jc w:val="center"/>
        <w:rPr>
          <w:rFonts w:hint="default" w:ascii="Times New Roman" w:hAnsi="Times New Roman" w:eastAsia="仿宋" w:cs="Times New Roman"/>
          <w:color w:val="000000"/>
          <w:spacing w:val="0"/>
          <w:kern w:val="2"/>
          <w:sz w:val="28"/>
          <w:szCs w:val="28"/>
          <w:highlight w:val="none"/>
        </w:rPr>
      </w:pPr>
      <w:r>
        <w:rPr>
          <w:rFonts w:hint="default" w:ascii="Times New Roman" w:hAnsi="Times New Roman" w:eastAsia="仿宋" w:cs="Times New Roman"/>
          <w:color w:val="000000"/>
          <w:spacing w:val="0"/>
          <w:kern w:val="2"/>
          <w:sz w:val="28"/>
          <w:szCs w:val="28"/>
          <w:highlight w:val="none"/>
          <w:lang w:val="en-US" w:eastAsia="zh-CN" w:bidi="ar"/>
        </w:rPr>
        <w:t xml:space="preserve">                                      </w:t>
      </w:r>
      <w:r>
        <w:rPr>
          <w:rFonts w:hint="default" w:ascii="Times New Roman" w:hAnsi="Times New Roman" w:eastAsia="仿宋_GB2312" w:cs="Times New Roman"/>
          <w:color w:val="000000"/>
          <w:spacing w:val="0"/>
          <w:kern w:val="2"/>
          <w:sz w:val="28"/>
          <w:szCs w:val="28"/>
          <w:highlight w:val="none"/>
          <w:lang w:val="en-US" w:eastAsia="zh-CN" w:bidi="ar"/>
        </w:rPr>
        <w:t xml:space="preserve">   </w:t>
      </w:r>
      <w:r>
        <w:rPr>
          <w:rFonts w:hint="default" w:ascii="Times New Roman" w:hAnsi="Times New Roman" w:eastAsia="宋体" w:cs="Times New Roman"/>
          <w:color w:val="000000"/>
          <w:spacing w:val="0"/>
          <w:kern w:val="2"/>
          <w:sz w:val="28"/>
          <w:szCs w:val="28"/>
          <w:highlight w:val="non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 xml:space="preserve"> </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年</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月</w:t>
      </w:r>
      <w:r>
        <w:rPr>
          <w:rFonts w:hint="default" w:ascii="Times New Roman" w:hAnsi="Times New Roman" w:eastAsia="仿宋" w:cs="Times New Roman"/>
          <w:color w:val="000000"/>
          <w:spacing w:val="0"/>
          <w:kern w:val="2"/>
          <w:sz w:val="28"/>
          <w:szCs w:val="28"/>
          <w:highlight w:val="none"/>
          <w:u w:val="single"/>
          <w:lang w:val="en-US" w:eastAsia="zh-CN" w:bidi="ar"/>
        </w:rPr>
        <w:t xml:space="preserve">  </w:t>
      </w:r>
      <w:r>
        <w:rPr>
          <w:rFonts w:hint="default" w:ascii="Times New Roman" w:hAnsi="Times New Roman" w:eastAsia="仿宋" w:cs="Times New Roman"/>
          <w:color w:val="000000"/>
          <w:spacing w:val="0"/>
          <w:kern w:val="2"/>
          <w:sz w:val="28"/>
          <w:szCs w:val="28"/>
          <w:highlight w:val="none"/>
          <w:lang w:val="en-US" w:eastAsia="zh-CN" w:bidi="ar"/>
        </w:rPr>
        <w:t>日</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8"/>
        <w:gridCol w:w="1412"/>
        <w:gridCol w:w="2624"/>
        <w:gridCol w:w="1356"/>
        <w:gridCol w:w="1582"/>
      </w:tblGrid>
      <w:tr w14:paraId="1CA2E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jc w:val="center"/>
        </w:trPr>
        <w:tc>
          <w:tcPr>
            <w:tcW w:w="1548" w:type="dxa"/>
            <w:vMerge w:val="restart"/>
            <w:tcBorders>
              <w:top w:val="single" w:color="auto" w:sz="4" w:space="0"/>
              <w:left w:val="single" w:color="auto" w:sz="4" w:space="0"/>
              <w:bottom w:val="single" w:color="auto" w:sz="4" w:space="0"/>
              <w:right w:val="single" w:color="auto" w:sz="4" w:space="0"/>
            </w:tcBorders>
            <w:noWrap w:val="0"/>
            <w:vAlign w:val="center"/>
          </w:tcPr>
          <w:p w14:paraId="5C580DD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定标概况</w:t>
            </w:r>
          </w:p>
        </w:tc>
        <w:tc>
          <w:tcPr>
            <w:tcW w:w="1412" w:type="dxa"/>
            <w:tcBorders>
              <w:top w:val="single" w:color="auto" w:sz="4" w:space="0"/>
              <w:left w:val="nil"/>
              <w:bottom w:val="single" w:color="auto" w:sz="4" w:space="0"/>
              <w:right w:val="single" w:color="auto" w:sz="4" w:space="0"/>
            </w:tcBorders>
            <w:noWrap w:val="0"/>
            <w:vAlign w:val="center"/>
          </w:tcPr>
          <w:p w14:paraId="4B7E4A0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项目名称</w:t>
            </w:r>
          </w:p>
        </w:tc>
        <w:tc>
          <w:tcPr>
            <w:tcW w:w="2624" w:type="dxa"/>
            <w:tcBorders>
              <w:top w:val="single" w:color="auto" w:sz="4" w:space="0"/>
              <w:left w:val="nil"/>
              <w:bottom w:val="single" w:color="auto" w:sz="4" w:space="0"/>
              <w:right w:val="single" w:color="auto" w:sz="4" w:space="0"/>
            </w:tcBorders>
            <w:noWrap w:val="0"/>
            <w:vAlign w:val="center"/>
          </w:tcPr>
          <w:p w14:paraId="692D4195">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p>
        </w:tc>
        <w:tc>
          <w:tcPr>
            <w:tcW w:w="1356" w:type="dxa"/>
            <w:tcBorders>
              <w:top w:val="single" w:color="auto" w:sz="4" w:space="0"/>
              <w:left w:val="nil"/>
              <w:bottom w:val="single" w:color="auto" w:sz="4" w:space="0"/>
              <w:right w:val="single" w:color="auto" w:sz="4" w:space="0"/>
            </w:tcBorders>
            <w:noWrap w:val="0"/>
            <w:vAlign w:val="center"/>
          </w:tcPr>
          <w:p w14:paraId="0861946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评标办法</w:t>
            </w:r>
          </w:p>
        </w:tc>
        <w:tc>
          <w:tcPr>
            <w:tcW w:w="1582" w:type="dxa"/>
            <w:tcBorders>
              <w:top w:val="single" w:color="auto" w:sz="4" w:space="0"/>
              <w:left w:val="nil"/>
              <w:bottom w:val="single" w:color="auto" w:sz="4" w:space="0"/>
              <w:right w:val="single" w:color="auto" w:sz="4" w:space="0"/>
            </w:tcBorders>
            <w:noWrap w:val="0"/>
            <w:vAlign w:val="center"/>
          </w:tcPr>
          <w:p w14:paraId="5181A6FB">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p>
        </w:tc>
      </w:tr>
      <w:tr w14:paraId="7E48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548" w:type="dxa"/>
            <w:vMerge w:val="continue"/>
            <w:tcBorders>
              <w:top w:val="single" w:color="auto" w:sz="4" w:space="0"/>
              <w:left w:val="single" w:color="auto" w:sz="4" w:space="0"/>
              <w:bottom w:val="single" w:color="auto" w:sz="4" w:space="0"/>
              <w:right w:val="single" w:color="auto" w:sz="4" w:space="0"/>
            </w:tcBorders>
            <w:noWrap w:val="0"/>
            <w:vAlign w:val="center"/>
          </w:tcPr>
          <w:p w14:paraId="2316D0E4">
            <w:pPr>
              <w:rPr>
                <w:rFonts w:hint="default" w:ascii="Times New Roman" w:hAnsi="Times New Roman" w:eastAsia="仿宋" w:cs="Times New Roman"/>
                <w:sz w:val="20"/>
                <w:szCs w:val="20"/>
                <w:highlight w:val="none"/>
              </w:rPr>
            </w:pPr>
          </w:p>
        </w:tc>
        <w:tc>
          <w:tcPr>
            <w:tcW w:w="1412" w:type="dxa"/>
            <w:tcBorders>
              <w:top w:val="single" w:color="auto" w:sz="4" w:space="0"/>
              <w:left w:val="nil"/>
              <w:bottom w:val="single" w:color="auto" w:sz="4" w:space="0"/>
              <w:right w:val="single" w:color="auto" w:sz="4" w:space="0"/>
            </w:tcBorders>
            <w:noWrap w:val="0"/>
            <w:vAlign w:val="center"/>
          </w:tcPr>
          <w:p w14:paraId="70DC857E">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推荐中标候选人数量</w:t>
            </w:r>
          </w:p>
        </w:tc>
        <w:tc>
          <w:tcPr>
            <w:tcW w:w="2624" w:type="dxa"/>
            <w:tcBorders>
              <w:top w:val="single" w:color="auto" w:sz="4" w:space="0"/>
              <w:left w:val="nil"/>
              <w:bottom w:val="single" w:color="auto" w:sz="4" w:space="0"/>
              <w:right w:val="single" w:color="auto" w:sz="4" w:space="0"/>
            </w:tcBorders>
            <w:noWrap w:val="0"/>
            <w:vAlign w:val="center"/>
          </w:tcPr>
          <w:p w14:paraId="35B93A2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u w:val="single"/>
                <w:lang w:val="en-US" w:eastAsia="zh-CN" w:bidi="ar"/>
              </w:rPr>
              <w:t xml:space="preserve">     </w:t>
            </w:r>
            <w:r>
              <w:rPr>
                <w:rFonts w:hint="default" w:ascii="Times New Roman" w:hAnsi="Times New Roman" w:eastAsia="仿宋" w:cs="Times New Roman"/>
                <w:color w:val="000000"/>
                <w:spacing w:val="0"/>
                <w:kern w:val="2"/>
                <w:sz w:val="24"/>
                <w:szCs w:val="24"/>
                <w:highlight w:val="none"/>
                <w:lang w:val="en-US" w:eastAsia="zh-CN" w:bidi="ar"/>
              </w:rPr>
              <w:t>名</w:t>
            </w:r>
          </w:p>
        </w:tc>
        <w:tc>
          <w:tcPr>
            <w:tcW w:w="1356" w:type="dxa"/>
            <w:tcBorders>
              <w:top w:val="single" w:color="auto" w:sz="4" w:space="0"/>
              <w:left w:val="nil"/>
              <w:bottom w:val="single" w:color="auto" w:sz="4" w:space="0"/>
              <w:right w:val="single" w:color="auto" w:sz="4" w:space="0"/>
            </w:tcBorders>
            <w:noWrap w:val="0"/>
            <w:vAlign w:val="center"/>
          </w:tcPr>
          <w:p w14:paraId="30FD27DF">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是否考察</w:t>
            </w:r>
          </w:p>
        </w:tc>
        <w:tc>
          <w:tcPr>
            <w:tcW w:w="1582" w:type="dxa"/>
            <w:tcBorders>
              <w:top w:val="single" w:color="auto" w:sz="4" w:space="0"/>
              <w:left w:val="nil"/>
              <w:bottom w:val="single" w:color="auto" w:sz="4" w:space="0"/>
              <w:right w:val="single" w:color="auto" w:sz="4" w:space="0"/>
            </w:tcBorders>
            <w:noWrap w:val="0"/>
            <w:vAlign w:val="center"/>
          </w:tcPr>
          <w:p w14:paraId="592207EA">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r>
      <w:tr w14:paraId="6947E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jc w:val="center"/>
        </w:trPr>
        <w:tc>
          <w:tcPr>
            <w:tcW w:w="1548" w:type="dxa"/>
            <w:vMerge w:val="continue"/>
            <w:tcBorders>
              <w:top w:val="single" w:color="auto" w:sz="4" w:space="0"/>
              <w:left w:val="single" w:color="auto" w:sz="4" w:space="0"/>
              <w:bottom w:val="single" w:color="auto" w:sz="4" w:space="0"/>
              <w:right w:val="single" w:color="auto" w:sz="4" w:space="0"/>
            </w:tcBorders>
            <w:noWrap w:val="0"/>
            <w:vAlign w:val="center"/>
          </w:tcPr>
          <w:p w14:paraId="22EF7F52">
            <w:pPr>
              <w:rPr>
                <w:rFonts w:hint="default" w:ascii="Times New Roman" w:hAnsi="Times New Roman" w:eastAsia="仿宋" w:cs="Times New Roman"/>
                <w:sz w:val="20"/>
                <w:szCs w:val="20"/>
                <w:highlight w:val="none"/>
              </w:rPr>
            </w:pPr>
          </w:p>
        </w:tc>
        <w:tc>
          <w:tcPr>
            <w:tcW w:w="1412" w:type="dxa"/>
            <w:tcBorders>
              <w:top w:val="single" w:color="auto" w:sz="4" w:space="0"/>
              <w:left w:val="nil"/>
              <w:bottom w:val="single" w:color="auto" w:sz="4" w:space="0"/>
              <w:right w:val="single" w:color="auto" w:sz="4" w:space="0"/>
            </w:tcBorders>
            <w:noWrap w:val="0"/>
            <w:vAlign w:val="center"/>
          </w:tcPr>
          <w:p w14:paraId="4B1C4D33">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是否面询</w:t>
            </w:r>
          </w:p>
        </w:tc>
        <w:tc>
          <w:tcPr>
            <w:tcW w:w="2624" w:type="dxa"/>
            <w:tcBorders>
              <w:top w:val="single" w:color="auto" w:sz="4" w:space="0"/>
              <w:left w:val="nil"/>
              <w:bottom w:val="single" w:color="auto" w:sz="4" w:space="0"/>
              <w:right w:val="single" w:color="auto" w:sz="4" w:space="0"/>
            </w:tcBorders>
            <w:noWrap w:val="0"/>
            <w:vAlign w:val="center"/>
          </w:tcPr>
          <w:p w14:paraId="1D623A4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c>
          <w:tcPr>
            <w:tcW w:w="1356" w:type="dxa"/>
            <w:tcBorders>
              <w:top w:val="single" w:color="auto" w:sz="4" w:space="0"/>
              <w:left w:val="nil"/>
              <w:bottom w:val="single" w:color="auto" w:sz="4" w:space="0"/>
              <w:right w:val="single" w:color="auto" w:sz="4" w:space="0"/>
            </w:tcBorders>
            <w:noWrap w:val="0"/>
            <w:vAlign w:val="center"/>
          </w:tcPr>
          <w:p w14:paraId="7808B22C">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是否质询</w:t>
            </w:r>
          </w:p>
        </w:tc>
        <w:tc>
          <w:tcPr>
            <w:tcW w:w="1582" w:type="dxa"/>
            <w:tcBorders>
              <w:top w:val="single" w:color="auto" w:sz="4" w:space="0"/>
              <w:left w:val="nil"/>
              <w:bottom w:val="single" w:color="auto" w:sz="4" w:space="0"/>
              <w:right w:val="single" w:color="auto" w:sz="4" w:space="0"/>
            </w:tcBorders>
            <w:noWrap w:val="0"/>
            <w:vAlign w:val="center"/>
          </w:tcPr>
          <w:p w14:paraId="4BC8807D">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（是或否）</w:t>
            </w:r>
          </w:p>
        </w:tc>
      </w:tr>
      <w:tr w14:paraId="27354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38C509DE">
            <w:pPr>
              <w:keepNext w:val="0"/>
              <w:keepLines w:val="0"/>
              <w:widowControl w:val="0"/>
              <w:suppressLineNumbers w:val="0"/>
              <w:spacing w:before="0" w:beforeAutospacing="0" w:after="0" w:afterAutospacing="0" w:line="520" w:lineRule="exac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定标委员会名单</w:t>
            </w:r>
          </w:p>
        </w:tc>
        <w:tc>
          <w:tcPr>
            <w:tcW w:w="6974" w:type="dxa"/>
            <w:gridSpan w:val="4"/>
            <w:tcBorders>
              <w:top w:val="single" w:color="auto" w:sz="4" w:space="0"/>
              <w:left w:val="nil"/>
              <w:bottom w:val="single" w:color="auto" w:sz="4" w:space="0"/>
              <w:right w:val="single" w:color="auto" w:sz="4" w:space="0"/>
            </w:tcBorders>
            <w:noWrap w:val="0"/>
            <w:vAlign w:val="center"/>
          </w:tcPr>
          <w:p w14:paraId="56DB38EB">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附：定标委员会抽选结果、定标委员会全体成员名单</w:t>
            </w:r>
          </w:p>
        </w:tc>
      </w:tr>
      <w:tr w14:paraId="05B5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31708117">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评标报告</w:t>
            </w:r>
          </w:p>
        </w:tc>
        <w:tc>
          <w:tcPr>
            <w:tcW w:w="6974" w:type="dxa"/>
            <w:gridSpan w:val="4"/>
            <w:tcBorders>
              <w:top w:val="single" w:color="auto" w:sz="4" w:space="0"/>
              <w:left w:val="nil"/>
              <w:bottom w:val="single" w:color="auto" w:sz="4" w:space="0"/>
              <w:right w:val="single" w:color="auto" w:sz="4" w:space="0"/>
            </w:tcBorders>
            <w:noWrap w:val="0"/>
            <w:vAlign w:val="center"/>
          </w:tcPr>
          <w:p w14:paraId="1275CC5A">
            <w:pPr>
              <w:keepNext w:val="0"/>
              <w:keepLines w:val="0"/>
              <w:widowControl w:val="0"/>
              <w:suppressLineNumbers w:val="0"/>
              <w:spacing w:before="0" w:beforeAutospacing="0" w:after="0" w:afterAutospacing="0" w:line="240" w:lineRule="atLeast"/>
              <w:ind w:left="0" w:right="0"/>
              <w:jc w:val="both"/>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附：评标报告、开标记录</w:t>
            </w:r>
          </w:p>
        </w:tc>
      </w:tr>
      <w:tr w14:paraId="76F83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5556BE40">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定标要素</w:t>
            </w:r>
          </w:p>
        </w:tc>
        <w:tc>
          <w:tcPr>
            <w:tcW w:w="6974" w:type="dxa"/>
            <w:gridSpan w:val="4"/>
            <w:tcBorders>
              <w:top w:val="single" w:color="auto" w:sz="4" w:space="0"/>
              <w:left w:val="nil"/>
              <w:bottom w:val="single" w:color="auto" w:sz="4" w:space="0"/>
              <w:right w:val="single" w:color="auto" w:sz="4" w:space="0"/>
            </w:tcBorders>
            <w:noWrap w:val="0"/>
            <w:vAlign w:val="center"/>
          </w:tcPr>
          <w:p w14:paraId="66F8D2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（请按招标文件要求选择）</w:t>
            </w:r>
          </w:p>
          <w:p w14:paraId="3BB40C5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1.履约能力；</w:t>
            </w:r>
          </w:p>
          <w:p w14:paraId="68DD1FE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2.工程质量；</w:t>
            </w:r>
          </w:p>
          <w:p w14:paraId="6FBE550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3.工期保障；</w:t>
            </w:r>
          </w:p>
          <w:p w14:paraId="44A71B1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spacing w:val="0"/>
                <w:kern w:val="2"/>
                <w:sz w:val="32"/>
                <w:szCs w:val="32"/>
                <w:highlight w:val="none"/>
              </w:rPr>
            </w:pPr>
            <w:r>
              <w:rPr>
                <w:rFonts w:hint="default" w:ascii="Times New Roman" w:hAnsi="Times New Roman" w:eastAsia="仿宋" w:cs="Times New Roman"/>
                <w:color w:val="000000"/>
                <w:spacing w:val="0"/>
                <w:kern w:val="2"/>
                <w:sz w:val="24"/>
                <w:szCs w:val="24"/>
                <w:highlight w:val="none"/>
                <w:lang w:val="en-US" w:eastAsia="zh-CN" w:bidi="ar"/>
              </w:rPr>
              <w:t>4.信用状况；</w:t>
            </w:r>
          </w:p>
          <w:p w14:paraId="7F111BA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5.报价合理性；</w:t>
            </w:r>
            <w:r>
              <w:rPr>
                <w:rFonts w:hint="default" w:ascii="Times New Roman" w:hAnsi="Times New Roman" w:eastAsia="仿宋" w:cs="Times New Roman"/>
                <w:color w:val="000000"/>
                <w:spacing w:val="0"/>
                <w:kern w:val="2"/>
                <w:sz w:val="24"/>
                <w:szCs w:val="24"/>
                <w:highlight w:val="none"/>
                <w:lang w:val="en-US" w:eastAsia="zh-CN" w:bidi="ar"/>
              </w:rPr>
              <w:tab/>
            </w:r>
          </w:p>
          <w:p w14:paraId="201F81F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6.安全管理方案；</w:t>
            </w:r>
          </w:p>
          <w:p w14:paraId="0CAE25F3">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highlight w:val="none"/>
                <w:lang w:val="en-US" w:eastAsia="zh-CN"/>
              </w:rPr>
            </w:pPr>
            <w:r>
              <w:rPr>
                <w:rFonts w:hint="eastAsia" w:ascii="Times New Roman" w:eastAsia="仿宋" w:cs="Times New Roman"/>
                <w:color w:val="000000"/>
                <w:spacing w:val="0"/>
                <w:kern w:val="2"/>
                <w:sz w:val="24"/>
                <w:szCs w:val="24"/>
                <w:highlight w:val="none"/>
                <w:lang w:val="en-US" w:eastAsia="zh-CN" w:bidi="ar"/>
              </w:rPr>
              <w:t>7.</w:t>
            </w:r>
            <w:r>
              <w:rPr>
                <w:rFonts w:hint="default" w:ascii="Times New Roman" w:hAnsi="Times New Roman" w:eastAsia="仿宋" w:cs="Times New Roman"/>
                <w:color w:val="000000"/>
                <w:spacing w:val="0"/>
                <w:kern w:val="2"/>
                <w:sz w:val="24"/>
                <w:szCs w:val="24"/>
                <w:highlight w:val="none"/>
                <w:lang w:val="en-US" w:eastAsia="zh-CN" w:bidi="ar"/>
              </w:rPr>
              <w:t>企业匹配性</w:t>
            </w:r>
          </w:p>
          <w:p w14:paraId="03434515">
            <w:pPr>
              <w:pStyle w:val="2"/>
              <w:keepNext w:val="0"/>
              <w:keepLines w:val="0"/>
              <w:pageBreakBefore w:val="0"/>
              <w:widowControl w:val="0"/>
              <w:kinsoku/>
              <w:wordWrap/>
              <w:overflowPunct/>
              <w:topLinePunct w:val="0"/>
              <w:autoSpaceDE/>
              <w:autoSpaceDN/>
              <w:bidi w:val="0"/>
              <w:adjustRightInd/>
              <w:spacing w:line="440" w:lineRule="exact"/>
              <w:ind w:left="0" w:leftChars="0" w:firstLine="0" w:firstLineChars="0"/>
              <w:textAlignment w:val="auto"/>
              <w:rPr>
                <w:rFonts w:hint="default"/>
                <w:highlight w:val="none"/>
                <w:lang w:val="en-US"/>
              </w:rPr>
            </w:pPr>
            <w:r>
              <w:rPr>
                <w:rFonts w:hint="eastAsia" w:ascii="Times New Roman" w:eastAsia="仿宋" w:cs="Times New Roman"/>
                <w:color w:val="000000"/>
                <w:spacing w:val="0"/>
                <w:kern w:val="2"/>
                <w:sz w:val="24"/>
                <w:szCs w:val="24"/>
                <w:highlight w:val="none"/>
                <w:lang w:val="en-US" w:eastAsia="zh-CN" w:bidi="ar"/>
              </w:rPr>
              <w:t>7.</w:t>
            </w:r>
            <w:r>
              <w:rPr>
                <w:rFonts w:hint="default" w:ascii="Times New Roman" w:hAnsi="Times New Roman" w:eastAsia="仿宋" w:cs="Times New Roman"/>
                <w:color w:val="000000"/>
                <w:spacing w:val="0"/>
                <w:kern w:val="2"/>
                <w:sz w:val="24"/>
                <w:szCs w:val="24"/>
                <w:highlight w:val="none"/>
                <w:lang w:val="en-US" w:eastAsia="zh-CN" w:bidi="ar"/>
              </w:rPr>
              <w:t>质询或考察报告</w:t>
            </w:r>
          </w:p>
          <w:p w14:paraId="16361F9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eastAsia" w:eastAsia="仿宋" w:cs="Times New Roman"/>
                <w:color w:val="000000"/>
                <w:spacing w:val="0"/>
                <w:kern w:val="2"/>
                <w:sz w:val="24"/>
                <w:szCs w:val="24"/>
                <w:highlight w:val="none"/>
                <w:lang w:val="en-US" w:eastAsia="zh-CN" w:bidi="ar"/>
              </w:rPr>
              <w:t>8</w:t>
            </w:r>
            <w:r>
              <w:rPr>
                <w:rFonts w:hint="default" w:ascii="Times New Roman" w:hAnsi="Times New Roman" w:eastAsia="仿宋" w:cs="Times New Roman"/>
                <w:color w:val="000000"/>
                <w:spacing w:val="0"/>
                <w:kern w:val="2"/>
                <w:sz w:val="24"/>
                <w:szCs w:val="24"/>
                <w:highlight w:val="none"/>
                <w:lang w:val="en-US" w:eastAsia="zh-CN" w:bidi="ar"/>
              </w:rPr>
              <w:t>评标委员会评审意见；</w:t>
            </w:r>
          </w:p>
          <w:p w14:paraId="205F60B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eastAsia" w:eastAsia="仿宋" w:cs="Times New Roman"/>
                <w:color w:val="000000"/>
                <w:spacing w:val="0"/>
                <w:kern w:val="2"/>
                <w:sz w:val="24"/>
                <w:szCs w:val="24"/>
                <w:highlight w:val="none"/>
                <w:lang w:val="en-US" w:eastAsia="zh-CN" w:bidi="ar"/>
              </w:rPr>
              <w:t>9</w:t>
            </w:r>
            <w:r>
              <w:rPr>
                <w:rFonts w:hint="default" w:ascii="Times New Roman" w:hAnsi="Times New Roman" w:eastAsia="仿宋" w:cs="Times New Roman"/>
                <w:color w:val="000000"/>
                <w:spacing w:val="0"/>
                <w:kern w:val="2"/>
                <w:sz w:val="24"/>
                <w:szCs w:val="24"/>
                <w:highlight w:val="none"/>
                <w:lang w:val="en-US" w:eastAsia="zh-CN" w:bidi="ar"/>
              </w:rPr>
              <w:t>.招标人认为需考量的其他要素。</w:t>
            </w:r>
          </w:p>
        </w:tc>
      </w:tr>
      <w:tr w14:paraId="30567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0B8AD9D6">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定  标</w:t>
            </w:r>
          </w:p>
          <w:p w14:paraId="7EC09F89">
            <w:pPr>
              <w:keepNext w:val="0"/>
              <w:keepLines w:val="0"/>
              <w:widowControl w:val="0"/>
              <w:suppressLineNumbers w:val="0"/>
              <w:spacing w:before="0" w:beforeAutospacing="0" w:after="0" w:afterAutospacing="0" w:line="240" w:lineRule="atLeast"/>
              <w:ind w:left="0" w:right="0"/>
              <w:jc w:val="center"/>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办  法</w:t>
            </w:r>
          </w:p>
        </w:tc>
        <w:tc>
          <w:tcPr>
            <w:tcW w:w="6974" w:type="dxa"/>
            <w:gridSpan w:val="4"/>
            <w:tcBorders>
              <w:top w:val="single" w:color="auto" w:sz="4" w:space="0"/>
              <w:left w:val="nil"/>
              <w:bottom w:val="single" w:color="auto" w:sz="4" w:space="0"/>
              <w:right w:val="single" w:color="auto" w:sz="4" w:space="0"/>
            </w:tcBorders>
            <w:noWrap w:val="0"/>
            <w:vAlign w:val="top"/>
          </w:tcPr>
          <w:p w14:paraId="49A32A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rPr>
            </w:pPr>
            <w:r>
              <w:rPr>
                <w:rFonts w:hint="default" w:ascii="Times New Roman" w:hAnsi="Times New Roman" w:eastAsia="仿宋" w:cs="Times New Roman"/>
                <w:color w:val="000000"/>
                <w:spacing w:val="0"/>
                <w:kern w:val="2"/>
                <w:sz w:val="24"/>
                <w:szCs w:val="24"/>
                <w:highlight w:val="none"/>
                <w:lang w:val="en-US" w:eastAsia="zh-CN" w:bidi="ar"/>
              </w:rPr>
              <w:t>（请按招标文件要求选择）</w:t>
            </w:r>
          </w:p>
          <w:p w14:paraId="513932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rPr>
            </w:pPr>
            <w:r>
              <w:rPr>
                <w:rFonts w:hint="default" w:ascii="Times New Roman" w:hAnsi="Times New Roman" w:eastAsia="仿宋" w:cs="Times New Roman"/>
                <w:color w:val="000000"/>
                <w:spacing w:val="0"/>
                <w:kern w:val="2"/>
                <w:sz w:val="24"/>
                <w:szCs w:val="24"/>
                <w:highlight w:val="none"/>
                <w:lang w:val="en-US" w:eastAsia="zh-CN" w:bidi="ar"/>
              </w:rPr>
              <w:t>集体议事</w:t>
            </w:r>
            <w:r>
              <w:rPr>
                <w:rFonts w:hint="eastAsia" w:eastAsia="仿宋" w:cs="Times New Roman"/>
                <w:color w:val="000000"/>
                <w:spacing w:val="0"/>
                <w:kern w:val="2"/>
                <w:sz w:val="24"/>
                <w:szCs w:val="24"/>
                <w:highlight w:val="none"/>
                <w:lang w:val="en-US" w:eastAsia="zh-CN" w:bidi="ar"/>
              </w:rPr>
              <w:t>定标</w:t>
            </w:r>
            <w:r>
              <w:rPr>
                <w:rFonts w:hint="default" w:ascii="Times New Roman" w:hAnsi="Times New Roman" w:eastAsia="仿宋" w:cs="Times New Roman"/>
                <w:color w:val="000000"/>
                <w:spacing w:val="0"/>
                <w:kern w:val="2"/>
                <w:sz w:val="24"/>
                <w:szCs w:val="24"/>
                <w:highlight w:val="none"/>
                <w:lang w:val="en-US" w:eastAsia="zh-CN" w:bidi="ar"/>
              </w:rPr>
              <w:t>法        票决</w:t>
            </w:r>
            <w:r>
              <w:rPr>
                <w:rFonts w:hint="eastAsia" w:eastAsia="仿宋" w:cs="Times New Roman"/>
                <w:color w:val="000000"/>
                <w:spacing w:val="0"/>
                <w:kern w:val="2"/>
                <w:sz w:val="24"/>
                <w:szCs w:val="24"/>
                <w:highlight w:val="none"/>
                <w:lang w:val="en-US" w:eastAsia="zh-CN" w:bidi="ar"/>
              </w:rPr>
              <w:t>定标</w:t>
            </w:r>
            <w:r>
              <w:rPr>
                <w:rFonts w:hint="default" w:ascii="Times New Roman" w:hAnsi="Times New Roman" w:eastAsia="仿宋" w:cs="Times New Roman"/>
                <w:color w:val="000000"/>
                <w:spacing w:val="0"/>
                <w:kern w:val="2"/>
                <w:sz w:val="24"/>
                <w:szCs w:val="24"/>
                <w:highlight w:val="none"/>
                <w:lang w:val="en-US" w:eastAsia="zh-CN" w:bidi="ar"/>
              </w:rPr>
              <w:t>法        综合择优定标法</w:t>
            </w:r>
          </w:p>
          <w:p w14:paraId="0BB68B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left"/>
              <w:textAlignment w:val="auto"/>
              <w:rPr>
                <w:rFonts w:hint="default" w:ascii="Times New Roman" w:hAnsi="Times New Roman" w:eastAsia="仿宋" w:cs="Times New Roman"/>
                <w:color w:val="000000"/>
                <w:spacing w:val="0"/>
                <w:kern w:val="2"/>
                <w:sz w:val="24"/>
                <w:szCs w:val="24"/>
                <w:highlight w:val="none"/>
                <w:lang w:val="en-US"/>
              </w:rPr>
            </w:pPr>
            <w:r>
              <w:rPr>
                <w:rFonts w:hint="default" w:ascii="Times New Roman" w:hAnsi="Times New Roman" w:eastAsia="仿宋" w:cs="Times New Roman"/>
                <w:color w:val="000000"/>
                <w:spacing w:val="0"/>
                <w:kern w:val="2"/>
                <w:sz w:val="24"/>
                <w:szCs w:val="24"/>
                <w:highlight w:val="none"/>
                <w:lang w:val="en-US" w:eastAsia="zh-CN" w:bidi="ar"/>
              </w:rPr>
              <w:t>其他（</w:t>
            </w:r>
            <w:r>
              <w:rPr>
                <w:rFonts w:hint="default" w:ascii="Times New Roman" w:hAnsi="Times New Roman" w:eastAsia="仿宋" w:cs="Times New Roman"/>
                <w:color w:val="000000"/>
                <w:spacing w:val="0"/>
                <w:kern w:val="2"/>
                <w:sz w:val="24"/>
                <w:szCs w:val="24"/>
                <w:highlight w:val="none"/>
                <w:u w:val="single"/>
                <w:lang w:val="en-US" w:eastAsia="zh-CN" w:bidi="ar"/>
              </w:rPr>
              <w:t xml:space="preserve">          </w:t>
            </w:r>
            <w:r>
              <w:rPr>
                <w:rFonts w:hint="default" w:ascii="Times New Roman" w:hAnsi="Times New Roman" w:eastAsia="仿宋" w:cs="Times New Roman"/>
                <w:color w:val="000000"/>
                <w:spacing w:val="0"/>
                <w:kern w:val="2"/>
                <w:sz w:val="24"/>
                <w:szCs w:val="24"/>
                <w:highlight w:val="none"/>
                <w:lang w:val="en-US" w:eastAsia="zh-CN" w:bidi="ar"/>
              </w:rPr>
              <w:t>）</w:t>
            </w:r>
          </w:p>
        </w:tc>
      </w:tr>
      <w:tr w14:paraId="65AE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1"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25D16D52">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中标候选人名单</w:t>
            </w:r>
          </w:p>
        </w:tc>
        <w:tc>
          <w:tcPr>
            <w:tcW w:w="6974" w:type="dxa"/>
            <w:gridSpan w:val="4"/>
            <w:tcBorders>
              <w:top w:val="single" w:color="auto" w:sz="4" w:space="0"/>
              <w:left w:val="nil"/>
              <w:bottom w:val="single" w:color="auto" w:sz="4" w:space="0"/>
              <w:right w:val="single" w:color="auto" w:sz="4" w:space="0"/>
            </w:tcBorders>
            <w:noWrap w:val="0"/>
            <w:vAlign w:val="center"/>
          </w:tcPr>
          <w:p w14:paraId="56B28F77">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14:paraId="1F43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0C892A24">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中标人名称</w:t>
            </w:r>
          </w:p>
        </w:tc>
        <w:tc>
          <w:tcPr>
            <w:tcW w:w="6974" w:type="dxa"/>
            <w:gridSpan w:val="4"/>
            <w:tcBorders>
              <w:top w:val="single" w:color="auto" w:sz="4" w:space="0"/>
              <w:left w:val="nil"/>
              <w:bottom w:val="single" w:color="auto" w:sz="4" w:space="0"/>
              <w:right w:val="single" w:color="auto" w:sz="4" w:space="0"/>
            </w:tcBorders>
            <w:noWrap w:val="0"/>
            <w:vAlign w:val="top"/>
          </w:tcPr>
          <w:p w14:paraId="31E2A5D2">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p w14:paraId="457659E6">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14:paraId="7506D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4"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606C1778">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定标办法</w:t>
            </w:r>
          </w:p>
          <w:p w14:paraId="06527E05">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 xml:space="preserve">操作概况       </w:t>
            </w:r>
          </w:p>
        </w:tc>
        <w:tc>
          <w:tcPr>
            <w:tcW w:w="6974" w:type="dxa"/>
            <w:gridSpan w:val="4"/>
            <w:tcBorders>
              <w:top w:val="single" w:color="auto" w:sz="4" w:space="0"/>
              <w:left w:val="nil"/>
              <w:bottom w:val="single" w:color="auto" w:sz="4" w:space="0"/>
              <w:right w:val="single" w:color="auto" w:sz="4" w:space="0"/>
            </w:tcBorders>
            <w:noWrap w:val="0"/>
            <w:vAlign w:val="top"/>
          </w:tcPr>
          <w:p w14:paraId="096F22BD">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14:paraId="3B9F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3" w:hRule="atLeast"/>
          <w:jc w:val="center"/>
        </w:trPr>
        <w:tc>
          <w:tcPr>
            <w:tcW w:w="1548" w:type="dxa"/>
            <w:tcBorders>
              <w:top w:val="single" w:color="auto" w:sz="4" w:space="0"/>
              <w:left w:val="single" w:color="auto" w:sz="4" w:space="0"/>
              <w:bottom w:val="single" w:color="auto" w:sz="4" w:space="0"/>
              <w:right w:val="single" w:color="auto" w:sz="4" w:space="0"/>
            </w:tcBorders>
            <w:noWrap w:val="0"/>
            <w:vAlign w:val="center"/>
          </w:tcPr>
          <w:p w14:paraId="7A17BCAA">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其它需说明 的事宜</w:t>
            </w:r>
          </w:p>
        </w:tc>
        <w:tc>
          <w:tcPr>
            <w:tcW w:w="6974" w:type="dxa"/>
            <w:gridSpan w:val="4"/>
            <w:tcBorders>
              <w:top w:val="single" w:color="auto" w:sz="4" w:space="0"/>
              <w:left w:val="nil"/>
              <w:bottom w:val="single" w:color="auto" w:sz="4" w:space="0"/>
              <w:right w:val="single" w:color="auto" w:sz="4" w:space="0"/>
            </w:tcBorders>
            <w:noWrap w:val="0"/>
            <w:vAlign w:val="top"/>
          </w:tcPr>
          <w:p w14:paraId="57A44EAB">
            <w:pPr>
              <w:keepNext w:val="0"/>
              <w:keepLines w:val="0"/>
              <w:widowControl/>
              <w:suppressLineNumbers w:val="0"/>
              <w:spacing w:before="0" w:beforeAutospacing="0" w:after="0" w:afterAutospacing="0" w:line="240" w:lineRule="auto"/>
              <w:ind w:left="0" w:right="0" w:firstLine="0"/>
              <w:jc w:val="both"/>
              <w:rPr>
                <w:rFonts w:hint="default" w:ascii="Times New Roman" w:hAnsi="Times New Roman" w:eastAsia="仿宋" w:cs="Times New Roman"/>
                <w:color w:val="000000"/>
                <w:spacing w:val="0"/>
                <w:kern w:val="2"/>
                <w:sz w:val="24"/>
                <w:szCs w:val="24"/>
                <w:highlight w:val="none"/>
                <w:lang w:val="en-US" w:eastAsia="zh-CN" w:bidi="ar"/>
              </w:rPr>
            </w:pPr>
          </w:p>
        </w:tc>
      </w:tr>
      <w:tr w14:paraId="50E6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0" w:hRule="atLeast"/>
          <w:jc w:val="center"/>
        </w:trPr>
        <w:tc>
          <w:tcPr>
            <w:tcW w:w="1548" w:type="dxa"/>
            <w:tcBorders>
              <w:top w:val="nil"/>
              <w:left w:val="single" w:color="auto" w:sz="4" w:space="0"/>
              <w:bottom w:val="single" w:color="auto" w:sz="4" w:space="0"/>
              <w:right w:val="single" w:color="auto" w:sz="4" w:space="0"/>
            </w:tcBorders>
            <w:noWrap w:val="0"/>
            <w:vAlign w:val="center"/>
          </w:tcPr>
          <w:p w14:paraId="738B3AA9">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0"/>
                <w:kern w:val="2"/>
                <w:sz w:val="24"/>
                <w:szCs w:val="24"/>
                <w:highlight w:val="none"/>
                <w:lang w:val="en-US" w:eastAsia="zh-CN" w:bidi="ar"/>
              </w:rPr>
            </w:pPr>
            <w:r>
              <w:rPr>
                <w:rFonts w:hint="default" w:ascii="Times New Roman" w:hAnsi="Times New Roman" w:eastAsia="仿宋" w:cs="Times New Roman"/>
                <w:color w:val="000000"/>
                <w:spacing w:val="0"/>
                <w:kern w:val="2"/>
                <w:sz w:val="24"/>
                <w:szCs w:val="24"/>
                <w:highlight w:val="none"/>
                <w:lang w:val="en-US" w:eastAsia="zh-CN" w:bidi="ar"/>
              </w:rPr>
              <w:t>定标委员会成员签字</w:t>
            </w:r>
          </w:p>
        </w:tc>
        <w:tc>
          <w:tcPr>
            <w:tcW w:w="6974" w:type="dxa"/>
            <w:gridSpan w:val="4"/>
            <w:tcBorders>
              <w:top w:val="single" w:color="auto" w:sz="4" w:space="0"/>
              <w:left w:val="nil"/>
              <w:bottom w:val="single" w:color="auto" w:sz="4" w:space="0"/>
              <w:right w:val="single" w:color="auto" w:sz="4" w:space="0"/>
            </w:tcBorders>
            <w:noWrap w:val="0"/>
            <w:vAlign w:val="center"/>
          </w:tcPr>
          <w:p w14:paraId="4B7FCFE6">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eastAsia="仿宋" w:cs="Times New Roman"/>
                <w:color w:val="000000"/>
                <w:spacing w:val="-20"/>
                <w:kern w:val="2"/>
                <w:sz w:val="24"/>
                <w:szCs w:val="24"/>
                <w:highlight w:val="none"/>
                <w:lang w:val="en-US" w:eastAsia="zh-CN" w:bidi="ar"/>
              </w:rPr>
            </w:pPr>
          </w:p>
        </w:tc>
      </w:tr>
    </w:tbl>
    <w:p w14:paraId="60E25784">
      <w:pPr>
        <w:keepNext w:val="0"/>
        <w:keepLines w:val="0"/>
        <w:widowControl/>
        <w:suppressLineNumbers w:val="0"/>
        <w:spacing w:before="0" w:beforeAutospacing="0" w:after="0" w:afterAutospacing="0" w:line="440" w:lineRule="exact"/>
        <w:ind w:left="661" w:leftChars="154" w:right="0" w:hanging="168" w:hangingChars="70"/>
        <w:jc w:val="both"/>
        <w:rPr>
          <w:rFonts w:hint="default" w:ascii="Times New Roman" w:hAnsi="Times New Roman" w:eastAsia="仿宋" w:cs="Times New Roman"/>
          <w:spacing w:val="0"/>
          <w:kern w:val="2"/>
          <w:sz w:val="24"/>
          <w:szCs w:val="24"/>
          <w:highlight w:val="none"/>
          <w:lang w:val="en-US" w:eastAsia="zh-CN" w:bidi="ar"/>
        </w:rPr>
      </w:pPr>
    </w:p>
    <w:p w14:paraId="590E830B">
      <w:pPr>
        <w:widowControl/>
        <w:shd w:val="clear" w:color="auto" w:fill="FFFFFF"/>
        <w:spacing w:before="0" w:beforeAutospacing="0" w:after="0" w:afterAutospacing="0" w:line="600" w:lineRule="exact"/>
        <w:jc w:val="both"/>
        <w:rPr>
          <w:rFonts w:hint="default" w:ascii="Times New Roman" w:hAnsi="Times New Roman" w:eastAsia="仿宋" w:cs="Times New Roman"/>
          <w:bCs/>
          <w:kern w:val="2"/>
          <w:sz w:val="32"/>
          <w:szCs w:val="32"/>
          <w:highlight w:val="none"/>
          <w:shd w:val="clear" w:color="auto" w:fill="FFFFFF"/>
          <w:lang w:val="en-US" w:eastAsia="zh-CN" w:bidi="ar-SA"/>
        </w:rPr>
      </w:pPr>
    </w:p>
    <w:p w14:paraId="2DC2C73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jc w:val="both"/>
        <w:textAlignment w:val="auto"/>
        <w:rPr>
          <w:rFonts w:hint="eastAsia" w:ascii="黑体" w:hAnsi="黑体" w:eastAsia="黑体" w:cs="黑体"/>
          <w:color w:val="000000"/>
          <w:spacing w:val="0"/>
          <w:kern w:val="2"/>
          <w:sz w:val="32"/>
          <w:szCs w:val="32"/>
          <w:highlight w:val="none"/>
          <w:lang w:val="en-US" w:eastAsia="zh-CN" w:bidi="ar-SA"/>
        </w:rPr>
      </w:pPr>
      <w:r>
        <w:rPr>
          <w:rFonts w:hint="eastAsia" w:ascii="黑体" w:hAnsi="黑体" w:eastAsia="黑体" w:cs="黑体"/>
          <w:color w:val="000000"/>
          <w:spacing w:val="0"/>
          <w:kern w:val="2"/>
          <w:sz w:val="32"/>
          <w:szCs w:val="32"/>
          <w:highlight w:val="none"/>
          <w:lang w:val="en-US" w:eastAsia="zh-CN" w:bidi="ar"/>
        </w:rPr>
        <w:t>附件3</w:t>
      </w:r>
    </w:p>
    <w:p w14:paraId="3E7039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40" w:lineRule="exact"/>
        <w:ind w:left="0" w:leftChars="0" w:right="0"/>
        <w:jc w:val="center"/>
        <w:textAlignment w:val="auto"/>
        <w:rPr>
          <w:rFonts w:hint="default" w:ascii="Times New Roman" w:hAnsi="Times New Roman" w:eastAsia="方正小标宋简体" w:cs="Times New Roman"/>
          <w:color w:val="000000"/>
          <w:spacing w:val="0"/>
          <w:kern w:val="2"/>
          <w:sz w:val="44"/>
          <w:szCs w:val="44"/>
          <w:highlight w:val="none"/>
          <w:lang w:val="en-US" w:eastAsia="zh-CN" w:bidi="ar"/>
        </w:rPr>
      </w:pPr>
    </w:p>
    <w:p w14:paraId="558E34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40" w:lineRule="exact"/>
        <w:ind w:left="0" w:leftChars="0" w:right="0"/>
        <w:jc w:val="center"/>
        <w:textAlignment w:val="auto"/>
        <w:rPr>
          <w:rFonts w:hint="default" w:ascii="Times New Roman" w:hAnsi="Times New Roman" w:eastAsia="方正小标宋简体" w:cs="Times New Roman"/>
          <w:color w:val="000000"/>
          <w:spacing w:val="0"/>
          <w:kern w:val="2"/>
          <w:sz w:val="44"/>
          <w:szCs w:val="44"/>
          <w:highlight w:val="none"/>
        </w:rPr>
      </w:pPr>
      <w:r>
        <w:rPr>
          <w:rFonts w:hint="default" w:ascii="Times New Roman" w:hAnsi="Times New Roman" w:eastAsia="方正小标宋简体" w:cs="Times New Roman"/>
          <w:color w:val="000000"/>
          <w:spacing w:val="0"/>
          <w:kern w:val="2"/>
          <w:sz w:val="44"/>
          <w:szCs w:val="44"/>
          <w:highlight w:val="none"/>
          <w:lang w:val="en-US" w:eastAsia="zh-CN" w:bidi="ar"/>
        </w:rPr>
        <w:t>承诺书（示例）</w:t>
      </w:r>
    </w:p>
    <w:p w14:paraId="5AB6BEA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p>
    <w:p w14:paraId="0CDFD6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rPr>
      </w:pPr>
      <w:r>
        <w:rPr>
          <w:rFonts w:hint="default" w:ascii="Times New Roman" w:hAnsi="Times New Roman" w:eastAsia="仿宋" w:cs="Times New Roman"/>
          <w:color w:val="000000"/>
          <w:spacing w:val="0"/>
          <w:kern w:val="2"/>
          <w:sz w:val="32"/>
          <w:szCs w:val="32"/>
          <w:highlight w:val="none"/>
          <w:lang w:val="en-US" w:eastAsia="zh-CN" w:bidi="ar"/>
        </w:rPr>
        <w:t>我自愿担任本项目的定标委员会成员，在此郑重承诺：</w:t>
      </w:r>
    </w:p>
    <w:p w14:paraId="175EBFF3">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1.严格遵守《中华人民共和国招标投标法》《中华人民共和国</w:t>
      </w:r>
      <w:r>
        <w:rPr>
          <w:rFonts w:hint="default" w:ascii="Times New Roman" w:hAnsi="Times New Roman" w:eastAsia="仿宋" w:cs="Times New Roman"/>
          <w:color w:val="000000"/>
          <w:spacing w:val="0"/>
          <w:kern w:val="2"/>
          <w:sz w:val="32"/>
          <w:szCs w:val="32"/>
          <w:highlight w:val="none"/>
          <w:lang w:val="en-US" w:eastAsia="zh-Hans" w:bidi="ar"/>
        </w:rPr>
        <w:t>保守国家秘密</w:t>
      </w:r>
      <w:r>
        <w:rPr>
          <w:rFonts w:hint="default" w:ascii="Times New Roman" w:hAnsi="Times New Roman" w:eastAsia="仿宋" w:cs="Times New Roman"/>
          <w:color w:val="000000"/>
          <w:spacing w:val="0"/>
          <w:kern w:val="2"/>
          <w:sz w:val="32"/>
          <w:szCs w:val="32"/>
          <w:highlight w:val="none"/>
          <w:lang w:val="en-US" w:eastAsia="zh-CN" w:bidi="ar"/>
        </w:rPr>
        <w:t>法》等相关法律及有关部门关于招投标的法规、规章，维护国家利益、社会公共利益。</w:t>
      </w:r>
    </w:p>
    <w:p w14:paraId="51368DE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2.客观公正地履行职责，遵守职业道德，</w:t>
      </w:r>
      <w:r>
        <w:rPr>
          <w:rFonts w:hint="default" w:ascii="Times New Roman" w:hAnsi="Times New Roman" w:eastAsia="仿宋" w:cs="Times New Roman"/>
          <w:color w:val="000000"/>
          <w:spacing w:val="0"/>
          <w:kern w:val="0"/>
          <w:sz w:val="32"/>
          <w:szCs w:val="32"/>
          <w:highlight w:val="none"/>
          <w:lang w:val="en-US" w:eastAsia="zh-CN" w:bidi="ar"/>
        </w:rPr>
        <w:t>独立、负责地为本项目</w:t>
      </w:r>
      <w:r>
        <w:rPr>
          <w:rFonts w:hint="default" w:ascii="Times New Roman" w:hAnsi="Times New Roman" w:eastAsia="仿宋" w:cs="Times New Roman"/>
          <w:spacing w:val="0"/>
          <w:kern w:val="0"/>
          <w:sz w:val="32"/>
          <w:szCs w:val="32"/>
          <w:highlight w:val="none"/>
          <w:lang w:val="en-US" w:eastAsia="zh-CN" w:bidi="ar"/>
        </w:rPr>
        <w:t>提供真实、可靠合理的</w:t>
      </w:r>
      <w:r>
        <w:rPr>
          <w:rFonts w:hint="default" w:ascii="Times New Roman" w:hAnsi="Times New Roman" w:eastAsia="仿宋" w:cs="Times New Roman"/>
          <w:color w:val="000000"/>
          <w:spacing w:val="0"/>
          <w:kern w:val="0"/>
          <w:sz w:val="32"/>
          <w:szCs w:val="32"/>
          <w:highlight w:val="none"/>
          <w:lang w:val="en-US" w:eastAsia="zh-CN" w:bidi="ar"/>
        </w:rPr>
        <w:t>定标意见，</w:t>
      </w:r>
      <w:r>
        <w:rPr>
          <w:rFonts w:hint="default" w:ascii="Times New Roman" w:hAnsi="Times New Roman" w:eastAsia="仿宋" w:cs="Times New Roman"/>
          <w:color w:val="000000"/>
          <w:spacing w:val="0"/>
          <w:kern w:val="2"/>
          <w:sz w:val="32"/>
          <w:szCs w:val="32"/>
          <w:highlight w:val="none"/>
          <w:lang w:val="en-US" w:eastAsia="zh-CN" w:bidi="ar"/>
        </w:rPr>
        <w:t>并对提出的</w:t>
      </w:r>
      <w:r>
        <w:rPr>
          <w:rFonts w:hint="eastAsia" w:eastAsia="仿宋" w:cs="Times New Roman"/>
          <w:color w:val="000000"/>
          <w:spacing w:val="0"/>
          <w:kern w:val="2"/>
          <w:sz w:val="32"/>
          <w:szCs w:val="32"/>
          <w:highlight w:val="none"/>
          <w:lang w:val="en-US" w:eastAsia="zh-CN" w:bidi="ar"/>
        </w:rPr>
        <w:t>定标</w:t>
      </w:r>
      <w:r>
        <w:rPr>
          <w:rFonts w:hint="default" w:ascii="Times New Roman" w:hAnsi="Times New Roman" w:eastAsia="仿宋" w:cs="Times New Roman"/>
          <w:color w:val="000000"/>
          <w:spacing w:val="0"/>
          <w:kern w:val="2"/>
          <w:sz w:val="32"/>
          <w:szCs w:val="32"/>
          <w:highlight w:val="none"/>
          <w:lang w:val="en-US" w:eastAsia="zh-CN" w:bidi="ar"/>
        </w:rPr>
        <w:t>意见承担个人责任。</w:t>
      </w:r>
    </w:p>
    <w:p w14:paraId="033BE02B">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3.履行相关保密义务，不透露定标委员会成员名单等与定标有关的情况，保守定标过程中所有商业秘密。</w:t>
      </w:r>
    </w:p>
    <w:p w14:paraId="617E6014">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4.遵守定标纪律，不私下接触投标人或者其他利害关系人，不收受他人的财物或者其他好处，自觉抵制定标过程中一切不正当要求。</w:t>
      </w:r>
    </w:p>
    <w:p w14:paraId="072AD352">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460" w:lineRule="exact"/>
        <w:ind w:left="0" w:leftChars="0" w:right="0" w:firstLine="640" w:firstLineChars="200"/>
        <w:jc w:val="left"/>
        <w:textAlignment w:val="auto"/>
        <w:rPr>
          <w:rFonts w:hint="default" w:ascii="Times New Roman" w:hAnsi="Times New Roman" w:eastAsia="仿宋" w:cs="Times New Roman"/>
          <w:spacing w:val="0"/>
          <w:kern w:val="2"/>
          <w:sz w:val="32"/>
          <w:szCs w:val="32"/>
          <w:highlight w:val="none"/>
          <w:lang w:val="en-US" w:eastAsia="zh-CN" w:bidi="ar-SA"/>
        </w:rPr>
      </w:pPr>
      <w:r>
        <w:rPr>
          <w:rFonts w:hint="default" w:ascii="Times New Roman" w:hAnsi="Times New Roman" w:eastAsia="仿宋" w:cs="Times New Roman"/>
          <w:spacing w:val="0"/>
          <w:kern w:val="2"/>
          <w:sz w:val="32"/>
          <w:szCs w:val="32"/>
          <w:highlight w:val="none"/>
          <w:lang w:val="en-US" w:eastAsia="zh-CN" w:bidi="ar"/>
        </w:rPr>
        <w:t>5.当发现自己与投标人有隶属关系、合作经营关系以及其他利益关系时，绝不隐瞒，主动回避。</w:t>
      </w:r>
    </w:p>
    <w:p w14:paraId="756C6EDF">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6.自觉抵制招投标违法违规行为，积极配合有关部门的调查取证工作。</w:t>
      </w:r>
    </w:p>
    <w:p w14:paraId="7DD5F150">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7.自觉服从监督部门的监督和管理。</w:t>
      </w:r>
    </w:p>
    <w:p w14:paraId="5FD0540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640" w:firstLineChars="200"/>
        <w:jc w:val="both"/>
        <w:textAlignment w:val="auto"/>
        <w:rPr>
          <w:rFonts w:hint="default" w:ascii="Times New Roman" w:hAnsi="Times New Roman" w:eastAsia="仿宋" w:cs="Times New Roman"/>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2"/>
          <w:sz w:val="32"/>
          <w:szCs w:val="32"/>
          <w:highlight w:val="none"/>
          <w:lang w:val="en-US" w:eastAsia="zh-CN" w:bidi="ar"/>
        </w:rPr>
        <w:t>以上承诺如有违反，本人愿意接受有关行政机关依法做出的任何行政处罚和处分。</w:t>
      </w:r>
    </w:p>
    <w:p w14:paraId="706FB98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jc w:val="left"/>
        <w:textAlignment w:val="auto"/>
        <w:rPr>
          <w:rFonts w:hint="default" w:ascii="Times New Roman" w:hAnsi="Times New Roman" w:eastAsia="仿宋" w:cs="Times New Roman"/>
          <w:color w:val="000000"/>
          <w:spacing w:val="0"/>
          <w:kern w:val="0"/>
          <w:sz w:val="32"/>
          <w:szCs w:val="32"/>
          <w:highlight w:val="none"/>
          <w:lang w:val="en-US" w:eastAsia="zh-CN" w:bidi="ar-SA"/>
        </w:rPr>
      </w:pPr>
    </w:p>
    <w:p w14:paraId="1694BEE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4160" w:firstLineChars="1300"/>
        <w:jc w:val="left"/>
        <w:textAlignment w:val="auto"/>
        <w:rPr>
          <w:rFonts w:hint="default" w:ascii="Times New Roman" w:hAnsi="Times New Roman" w:eastAsia="仿宋" w:cs="Times New Roman"/>
          <w:color w:val="000000"/>
          <w:spacing w:val="0"/>
          <w:kern w:val="0"/>
          <w:sz w:val="32"/>
          <w:szCs w:val="32"/>
          <w:highlight w:val="none"/>
          <w:lang w:val="en-US" w:eastAsia="zh-CN" w:bidi="ar"/>
        </w:rPr>
      </w:pPr>
      <w:r>
        <w:rPr>
          <w:rFonts w:hint="default" w:ascii="Times New Roman" w:hAnsi="Times New Roman" w:eastAsia="仿宋" w:cs="Times New Roman"/>
          <w:color w:val="000000"/>
          <w:spacing w:val="0"/>
          <w:kern w:val="0"/>
          <w:sz w:val="32"/>
          <w:szCs w:val="32"/>
          <w:highlight w:val="none"/>
          <w:lang w:val="en-US" w:eastAsia="zh-CN" w:bidi="ar"/>
        </w:rPr>
        <w:t>承诺人：</w:t>
      </w:r>
    </w:p>
    <w:p w14:paraId="1B271BAA">
      <w:pPr>
        <w:pStyle w:val="2"/>
        <w:rPr>
          <w:rFonts w:hint="default"/>
          <w:highlight w:val="none"/>
          <w:lang w:val="en-US" w:eastAsia="zh-CN"/>
        </w:rPr>
      </w:pPr>
    </w:p>
    <w:p w14:paraId="620DE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60" w:lineRule="exact"/>
        <w:ind w:left="0" w:leftChars="0" w:right="0" w:firstLine="4160" w:firstLineChars="1300"/>
        <w:jc w:val="left"/>
        <w:textAlignment w:val="auto"/>
        <w:rPr>
          <w:rFonts w:hint="default" w:ascii="Times New Roman" w:hAnsi="Times New Roman" w:eastAsia="仿宋" w:cs="Times New Roman"/>
          <w:b w:val="0"/>
          <w:color w:val="000000"/>
          <w:spacing w:val="0"/>
          <w:kern w:val="2"/>
          <w:sz w:val="32"/>
          <w:szCs w:val="32"/>
          <w:highlight w:val="none"/>
          <w:lang w:val="en-US" w:eastAsia="zh-CN" w:bidi="ar"/>
        </w:rPr>
      </w:pPr>
      <w:r>
        <w:rPr>
          <w:rFonts w:hint="default" w:ascii="Times New Roman" w:hAnsi="Times New Roman" w:eastAsia="仿宋" w:cs="Times New Roman"/>
          <w:color w:val="000000"/>
          <w:spacing w:val="0"/>
          <w:kern w:val="0"/>
          <w:sz w:val="32"/>
          <w:szCs w:val="32"/>
          <w:highlight w:val="none"/>
          <w:lang w:val="en-US" w:eastAsia="zh-CN" w:bidi="ar"/>
        </w:rPr>
        <w:t>承诺日期：</w:t>
      </w:r>
    </w:p>
    <w:p w14:paraId="08F8F1C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jc w:val="both"/>
        <w:textAlignment w:val="auto"/>
        <w:rPr>
          <w:rFonts w:hint="default" w:ascii="Times New Roman" w:hAnsi="Times New Roman" w:eastAsia="黑体" w:cs="Times New Roman"/>
          <w:color w:val="000000"/>
          <w:spacing w:val="0"/>
          <w:kern w:val="2"/>
          <w:sz w:val="32"/>
          <w:szCs w:val="32"/>
          <w:highlight w:val="none"/>
          <w:lang w:val="en-US" w:eastAsia="zh-CN" w:bidi="ar"/>
        </w:rPr>
      </w:pPr>
      <w:r>
        <w:rPr>
          <w:rFonts w:hint="default" w:ascii="Times New Roman" w:hAnsi="Times New Roman" w:eastAsia="仿宋" w:cs="Times New Roman"/>
          <w:b w:val="0"/>
          <w:color w:val="000000"/>
          <w:spacing w:val="0"/>
          <w:kern w:val="2"/>
          <w:sz w:val="32"/>
          <w:szCs w:val="32"/>
          <w:highlight w:val="none"/>
          <w:lang w:val="en-US" w:eastAsia="zh-CN" w:bidi="ar"/>
        </w:rPr>
        <w:br w:type="page"/>
      </w:r>
      <w:r>
        <w:rPr>
          <w:rFonts w:hint="eastAsia" w:ascii="黑体" w:hAnsi="黑体" w:eastAsia="黑体" w:cs="黑体"/>
          <w:color w:val="000000"/>
          <w:spacing w:val="0"/>
          <w:kern w:val="2"/>
          <w:sz w:val="32"/>
          <w:szCs w:val="32"/>
          <w:highlight w:val="none"/>
          <w:lang w:val="en-US" w:eastAsia="zh-CN" w:bidi="ar"/>
        </w:rPr>
        <w:t>附件4</w:t>
      </w:r>
    </w:p>
    <w:p w14:paraId="4B452A8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pPr>
    </w:p>
    <w:p w14:paraId="138864D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80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u w:val="none"/>
          <w:shd w:val="clear" w:color="auto" w:fill="FFFFFF"/>
          <w:lang w:val="en-US" w:eastAsia="zh-CN"/>
        </w:rPr>
        <w:t>定标方法</w:t>
      </w:r>
    </w:p>
    <w:p w14:paraId="08E8D63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p>
    <w:p w14:paraId="75CFFAC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根据项目特点选择合理的定标方法是择优确定中标候选人的重要环节。定标活动应当遵循质量优先、信用优先、履约优先、合理竞价原则，定标因素</w:t>
      </w:r>
      <w:r>
        <w:rPr>
          <w:rFonts w:hint="eastAsia" w:ascii="Times New Roman" w:hAnsi="Times New Roman" w:cs="Times New Roman"/>
          <w:i w:val="0"/>
          <w:iCs w:val="0"/>
          <w:caps w:val="0"/>
          <w:color w:val="auto"/>
          <w:spacing w:val="0"/>
          <w:sz w:val="32"/>
          <w:szCs w:val="32"/>
          <w:highlight w:val="none"/>
          <w:u w:val="none"/>
          <w:shd w:val="clear" w:color="auto" w:fill="FFFFFF"/>
          <w:lang w:val="en-US" w:eastAsia="zh-CN"/>
        </w:rPr>
        <w:t>不</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仅</w:t>
      </w:r>
      <w:r>
        <w:rPr>
          <w:rFonts w:hint="eastAsia" w:cs="Times New Roman"/>
          <w:i w:val="0"/>
          <w:iCs w:val="0"/>
          <w:caps w:val="0"/>
          <w:color w:val="auto"/>
          <w:spacing w:val="0"/>
          <w:sz w:val="32"/>
          <w:szCs w:val="32"/>
          <w:highlight w:val="none"/>
          <w:u w:val="none"/>
          <w:shd w:val="clear" w:color="auto" w:fill="FFFFFF"/>
          <w:lang w:val="en-US" w:eastAsia="zh-CN"/>
        </w:rPr>
        <w:t>限于</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履约能力、工程质量、工期保障、信用状况、报价合理性、安全管理方案、企业匹配性七项内容，</w:t>
      </w:r>
      <w:r>
        <w:rPr>
          <w:rFonts w:hint="eastAsia" w:ascii="Times New Roman" w:hAnsi="Times New Roman" w:cs="Times New Roman"/>
          <w:i w:val="0"/>
          <w:iCs w:val="0"/>
          <w:caps w:val="0"/>
          <w:color w:val="auto"/>
          <w:spacing w:val="0"/>
          <w:sz w:val="32"/>
          <w:szCs w:val="32"/>
          <w:highlight w:val="none"/>
          <w:u w:val="none"/>
          <w:shd w:val="clear" w:color="auto" w:fill="FFFFFF"/>
          <w:lang w:val="en-US" w:eastAsia="zh-CN"/>
        </w:rPr>
        <w:t>但严禁将注册地、本地业绩、所有制、企业规模等其他无关或影响招投标活动公平性的因素设置为定标因素</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p>
    <w:p w14:paraId="45C6753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方法包括票决定标法、综合择优定标法、集体议事定标法或者符合法律法规的其他定标方法。招标人应当根据项目类型、规模、技术复杂程度和实际需求，在招标文件和定标方案中明确选用一种定标方法，或选用符合规定的组合定标方法。定标方法一经确定，不得擅自变更；确需变更的，应当重新发布招标文件并履行备案程序。</w:t>
      </w:r>
    </w:p>
    <w:p w14:paraId="0D784F5B">
      <w:pPr>
        <w:pStyle w:val="8"/>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票决定标法</w:t>
      </w:r>
    </w:p>
    <w:p w14:paraId="6EB4C90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定标委员会成员根据定标因素对各中标候选人进行综合比较后，以无记名投票方式确定中标人。</w:t>
      </w:r>
    </w:p>
    <w:p w14:paraId="2507C4D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1.</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适用场景：技术成熟、标准统一的一般性房屋建筑和市政基础设施施工项目；工期紧迫、需快速完成定标的项目；投标人综合实力相近、难以通过量化打分明显区分优劣的项目。</w:t>
      </w:r>
    </w:p>
    <w:p w14:paraId="0A4BC96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操作流程：定标委员会成员独立查阅投标文件、评审报告、候选人信用信息等全部资料；招标文件约定开展现场考察或定标答辩的，组织相应活动</w:t>
      </w:r>
      <w:r>
        <w:rPr>
          <w:rFonts w:hint="eastAsia" w:cs="Times New Roman"/>
          <w:i w:val="0"/>
          <w:iCs w:val="0"/>
          <w:caps w:val="0"/>
          <w:color w:val="auto"/>
          <w:spacing w:val="0"/>
          <w:sz w:val="32"/>
          <w:szCs w:val="32"/>
          <w:highlight w:val="none"/>
          <w:u w:val="none"/>
          <w:shd w:val="clear" w:color="auto" w:fill="FFFFFF"/>
          <w:lang w:val="en-US" w:eastAsia="zh-CN"/>
        </w:rPr>
        <w:t>；各成员</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就候选人核心优势、潜在风险及项目匹配性进行集体讨论；对所有合格中标候选人进行一次性无记名投票，每人限投一票；当场计票并公布结果，得票最多者确定为中标人。</w:t>
      </w:r>
    </w:p>
    <w:p w14:paraId="480D5C5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特殊情形处理：首轮投票出现两名及以上候选人得票相同且均为最高得票的，进行再次投票；再次投票仍得票相同的，优先确定信用</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状况</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较</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好</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者，信用</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状况</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相同的优先确定投标报价更合理者；招标文件约定逐轮票决制的，首轮无人获半数以上选票时，淘汰得票最少者，逐轮投票直至产生获半数以上选票的中标人。</w:t>
      </w:r>
    </w:p>
    <w:p w14:paraId="5383695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4.</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定标报告要求：详细记录每一轮投票得票情况、每位成员投票理由及特殊情形处理依据。</w:t>
      </w:r>
    </w:p>
    <w:p w14:paraId="701CC64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（二）综合择优定标法</w:t>
      </w:r>
    </w:p>
    <w:p w14:paraId="2FDB32A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将法定定标因素量化为具体评分指标和权重，定标委员会成员按照统一评分标准独立打分，汇总计算得分后，得分最高者确定为中标人。</w:t>
      </w:r>
    </w:p>
    <w:p w14:paraId="6AC297C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1.</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适用场景：技术复杂、专业性强、对工程质量和履约能力要求较高的项目；工程总承包、设计施工一体化、勘察设计等技术主导型项目；大型公共建筑、市政基础设施等投资规模大、社会关注度高的项目。</w:t>
      </w:r>
    </w:p>
    <w:p w14:paraId="3B1E583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评分指标与权重要求：必须</w:t>
      </w:r>
      <w:r>
        <w:rPr>
          <w:rFonts w:hint="eastAsia" w:cs="Times New Roman"/>
          <w:i w:val="0"/>
          <w:iCs w:val="0"/>
          <w:caps w:val="0"/>
          <w:color w:val="auto"/>
          <w:spacing w:val="0"/>
          <w:sz w:val="32"/>
          <w:szCs w:val="32"/>
          <w:highlight w:val="none"/>
          <w:u w:val="none"/>
          <w:shd w:val="clear" w:color="auto" w:fill="FFFFFF"/>
          <w:lang w:val="en-US" w:eastAsia="zh-CN"/>
        </w:rPr>
        <w:t>至少</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包含</w:t>
      </w:r>
      <w:r>
        <w:rPr>
          <w:rFonts w:hint="eastAsia" w:cs="Times New Roman"/>
          <w:i w:val="0"/>
          <w:iCs w:val="0"/>
          <w:caps w:val="0"/>
          <w:color w:val="auto"/>
          <w:spacing w:val="0"/>
          <w:sz w:val="32"/>
          <w:szCs w:val="32"/>
          <w:highlight w:val="none"/>
          <w:u w:val="none"/>
          <w:shd w:val="clear" w:color="auto" w:fill="FFFFFF"/>
          <w:lang w:val="en-US" w:eastAsia="zh-CN"/>
        </w:rPr>
        <w:t>现有</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七项定标因素；工程质量、信用状况、履约能力三项指标权重合计不得低于</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50</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%；且不得采用最低价中标原则；评分标准应当明确、可量化，与招标文件载明内容一致。</w:t>
      </w:r>
    </w:p>
    <w:p w14:paraId="1C06DBE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操作流程：招标人提前制作统一评分表，明确各指标评分标准和权重；定标委员会成员对照标准独立打分，过</w:t>
      </w:r>
      <w:r>
        <w:rPr>
          <w:rFonts w:hint="eastAsia" w:cs="Times New Roman"/>
          <w:i w:val="0"/>
          <w:iCs w:val="0"/>
          <w:caps w:val="0"/>
          <w:color w:val="auto"/>
          <w:spacing w:val="0"/>
          <w:sz w:val="32"/>
          <w:szCs w:val="32"/>
          <w:highlight w:val="none"/>
          <w:u w:val="none"/>
          <w:shd w:val="clear" w:color="auto" w:fill="FFFFFF"/>
          <w:lang w:val="en-US" w:eastAsia="zh-CN"/>
        </w:rPr>
        <w:t>程中</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不得相互干扰；专人汇总计算最终得分，计算过程由监督人员全程监督；得分最高者确定为中标人。</w:t>
      </w:r>
    </w:p>
    <w:p w14:paraId="69F6509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cs="Times New Roman"/>
          <w:i w:val="0"/>
          <w:iCs w:val="0"/>
          <w:caps w:val="0"/>
          <w:color w:val="auto"/>
          <w:spacing w:val="0"/>
          <w:sz w:val="32"/>
          <w:szCs w:val="32"/>
          <w:highlight w:val="none"/>
          <w:u w:val="none"/>
          <w:shd w:val="clear" w:color="auto" w:fill="FFFFFF"/>
          <w:lang w:val="en-US" w:eastAsia="zh-CN"/>
        </w:rPr>
        <w:t>4</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特殊情形处理：出现两名及以上候选人最终得分相同的，优先确定信用</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状况</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较</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好</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者；信用</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状况</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相同的，优先确定工程质量保障方案更优者。</w:t>
      </w:r>
    </w:p>
    <w:p w14:paraId="36A80ED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cs="Times New Roman"/>
          <w:i w:val="0"/>
          <w:iCs w:val="0"/>
          <w:caps w:val="0"/>
          <w:color w:val="auto"/>
          <w:spacing w:val="0"/>
          <w:sz w:val="32"/>
          <w:szCs w:val="32"/>
          <w:highlight w:val="none"/>
          <w:u w:val="none"/>
          <w:shd w:val="clear" w:color="auto" w:fill="FFFFFF"/>
          <w:lang w:val="en-US" w:eastAsia="zh-CN"/>
        </w:rPr>
        <w:t>5</w:t>
      </w: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定标报告要求：应当</w:t>
      </w:r>
      <w:r>
        <w:rPr>
          <w:rFonts w:hint="eastAsia" w:cs="Times New Roman"/>
          <w:i w:val="0"/>
          <w:iCs w:val="0"/>
          <w:caps w:val="0"/>
          <w:color w:val="auto"/>
          <w:spacing w:val="0"/>
          <w:sz w:val="32"/>
          <w:szCs w:val="32"/>
          <w:highlight w:val="none"/>
          <w:u w:val="none"/>
          <w:shd w:val="clear" w:color="auto" w:fill="FFFFFF"/>
          <w:lang w:val="en-US" w:eastAsia="zh-CN"/>
        </w:rPr>
        <w:t>明确定标因素明确各指标评分标准和权重，记录</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中标候选人各项定标因素得分及总分</w:t>
      </w:r>
      <w:r>
        <w:rPr>
          <w:rFonts w:hint="eastAsia" w:cs="Times New Roman"/>
          <w:i w:val="0"/>
          <w:iCs w:val="0"/>
          <w:caps w:val="0"/>
          <w:color w:val="auto"/>
          <w:spacing w:val="0"/>
          <w:sz w:val="32"/>
          <w:szCs w:val="32"/>
          <w:highlight w:val="none"/>
          <w:u w:val="none"/>
          <w:shd w:val="clear" w:color="auto" w:fill="FFFFFF"/>
          <w:lang w:val="en-US" w:eastAsia="zh-CN"/>
        </w:rPr>
        <w:t>。</w:t>
      </w:r>
      <w:bookmarkStart w:id="0" w:name="_GoBack"/>
      <w:bookmarkEnd w:id="0"/>
    </w:p>
    <w:p w14:paraId="15EC4B5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（三）集体议事定标法</w:t>
      </w:r>
    </w:p>
    <w:p w14:paraId="364D2FD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由定标委员会进行集体审议、充分讨论，结合项目特点和中标候选人综合表现，直接择优确定中标人。</w:t>
      </w:r>
    </w:p>
    <w:p w14:paraId="3D5E7A7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1.</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适用场景：技术特别复杂、有特殊工艺或特殊功能要求，难以通过量化打分或票决方式准确评判的项目。</w:t>
      </w:r>
    </w:p>
    <w:p w14:paraId="3480941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操作流程：定标委员会成员查阅全部定标资料，招标文件约定开展现场考察或定标答辩的，组织相应活动；成员按照职务从低到高顺序逐一发表评审意见，明确支持或不支持的理由；定标委员会组长实行末位表态制；综合全体成员意见，集体商议确定中标人</w:t>
      </w:r>
      <w:r>
        <w:rPr>
          <w:rFonts w:hint="eastAsia" w:cs="Times New Roman"/>
          <w:i w:val="0"/>
          <w:iCs w:val="0"/>
          <w:caps w:val="0"/>
          <w:color w:val="auto"/>
          <w:spacing w:val="0"/>
          <w:sz w:val="32"/>
          <w:szCs w:val="32"/>
          <w:highlight w:val="none"/>
          <w:u w:val="none"/>
          <w:shd w:val="clear" w:color="auto" w:fill="FFFFFF"/>
          <w:lang w:val="en-US" w:eastAsia="zh-CN"/>
        </w:rPr>
        <w:t>。</w:t>
      </w:r>
    </w:p>
    <w:p w14:paraId="49D4A1A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关键规则：定标委员会组长确定的中标人与多数成员选择意向不一致时，应当向定标委员会和监督小组详细书面说明理由，相关情况完整记入定标报告；不得确定未获得任何定标委员会成员支持的候选人为中标人；集体商议过程全程录音录像，所有成员书面意见纳入定标档案。</w:t>
      </w:r>
    </w:p>
    <w:p w14:paraId="714B63A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4.</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定标报告要求：</w:t>
      </w:r>
      <w:r>
        <w:rPr>
          <w:rFonts w:hint="eastAsia" w:cs="Times New Roman"/>
          <w:i w:val="0"/>
          <w:iCs w:val="0"/>
          <w:caps w:val="0"/>
          <w:color w:val="auto"/>
          <w:spacing w:val="0"/>
          <w:sz w:val="32"/>
          <w:szCs w:val="32"/>
          <w:highlight w:val="none"/>
          <w:u w:val="none"/>
          <w:shd w:val="clear" w:color="auto" w:fill="FFFFFF"/>
          <w:lang w:val="en-US" w:eastAsia="zh-CN"/>
        </w:rPr>
        <w:t>重点记录定标委员会成员意见、支持或不支持的理由。</w:t>
      </w:r>
    </w:p>
    <w:p w14:paraId="53DD43E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（四）其他定标方法及组合使用</w:t>
      </w:r>
    </w:p>
    <w:p w14:paraId="14794AF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1.</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其他定标方法：招标人可根据项目实际需求，采用符合国家、自治区及本市法律法规规定，且经公平竞争审查和招标人“三重一大”决策程序通过的其他定标方法。采用其他定标方法的，应当在招标文件和定标方案中详细载明操作规则、判定标准和责任划分。</w:t>
      </w:r>
    </w:p>
    <w:p w14:paraId="62510AC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组合定标方法：招标人可将上述两种及以上定标方法组合使用，常见组合方式包括综合打分+票决制</w:t>
      </w:r>
      <w:r>
        <w:rPr>
          <w:rFonts w:hint="eastAsia" w:cs="Times New Roman"/>
          <w:i w:val="0"/>
          <w:iCs w:val="0"/>
          <w:caps w:val="0"/>
          <w:color w:val="auto"/>
          <w:spacing w:val="0"/>
          <w:sz w:val="32"/>
          <w:szCs w:val="32"/>
          <w:highlight w:val="none"/>
          <w:u w:val="none"/>
          <w:shd w:val="clear" w:color="auto" w:fill="FFFFFF"/>
          <w:lang w:val="en-US" w:eastAsia="zh-CN"/>
        </w:rPr>
        <w:t>。</w:t>
      </w:r>
    </w:p>
    <w:p w14:paraId="62CE282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cs="Times New Roman"/>
          <w:i w:val="0"/>
          <w:iCs w:val="0"/>
          <w:caps w:val="0"/>
          <w:color w:val="auto"/>
          <w:spacing w:val="0"/>
          <w:sz w:val="32"/>
          <w:szCs w:val="32"/>
          <w:highlight w:val="none"/>
          <w:u w:val="none"/>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组合定标要求：组合定标的适用条件、各环节操作流程、判定标准必须在招标文件和定标方案中明确载明；不得违反定标原则，不得规避法定定标因素的评审；全过程应当全程留痕，各环节评审结果和依据完整纳入定标报告。</w:t>
      </w:r>
    </w:p>
    <w:p w14:paraId="300B148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pPr>
      <w:r>
        <w:rPr>
          <w:rFonts w:hint="eastAsia" w:ascii="楷体_GB2312" w:hAnsi="楷体_GB2312" w:eastAsia="楷体_GB2312" w:cs="楷体_GB2312"/>
          <w:i w:val="0"/>
          <w:iCs w:val="0"/>
          <w:caps w:val="0"/>
          <w:color w:val="auto"/>
          <w:spacing w:val="0"/>
          <w:sz w:val="32"/>
          <w:szCs w:val="32"/>
          <w:highlight w:val="none"/>
          <w:u w:val="none"/>
          <w:shd w:val="clear" w:color="auto" w:fill="FFFFFF"/>
          <w:lang w:val="en-US" w:eastAsia="zh-CN"/>
        </w:rPr>
        <w:t>（五）通用管理要求</w:t>
      </w:r>
    </w:p>
    <w:p w14:paraId="6FAA9C7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定标全程留痕：所有定标活动的纸质资料、电子文档、录音录像等应当完整归档，包括但不限于定标委员会成员签到表、评审意见表、投票记录、打分表、集体讨论记录、定标报告等，档案保存期限按照工程建设项目档案管理规定执行。</w:t>
      </w:r>
    </w:p>
    <w:p w14:paraId="581243E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回避与保密：定标委员会成员的回避情形按照本办法第二十</w:t>
      </w:r>
      <w:r>
        <w:rPr>
          <w:rFonts w:hint="eastAsia" w:cs="Times New Roman"/>
          <w:i w:val="0"/>
          <w:iCs w:val="0"/>
          <w:caps w:val="0"/>
          <w:color w:val="auto"/>
          <w:spacing w:val="0"/>
          <w:sz w:val="32"/>
          <w:szCs w:val="32"/>
          <w:highlight w:val="none"/>
          <w:u w:val="none"/>
          <w:shd w:val="clear" w:color="auto" w:fill="FFFFFF"/>
          <w:lang w:val="en-US" w:eastAsia="zh-CN"/>
        </w:rPr>
        <w:t>五</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条、第三十条规定执行；定标结果确定前，定标委员会成员、监督人员及相关工作人员不得泄露定标过程、评审意见、投票情况等任何涉密信息。</w:t>
      </w:r>
    </w:p>
    <w:p w14:paraId="286EA7B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246CB">
    <w:pPr>
      <w:pStyle w:val="6"/>
    </w:pPr>
    <w:r>
      <w:rPr>
        <w:sz w:val="18"/>
      </w:rPr>
      <w:pict>
        <v:shape id="_x0000_s4097" o:spid="_x0000_s4097" o:spt="202" type="#_x0000_t202" style="position:absolute;left:0pt;margin-left:377.25pt;margin-top:-5.4pt;height:144pt;width:144p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B61D9E3">
                <w:pPr>
                  <w:pStyle w:val="6"/>
                  <w:keepNext w:val="0"/>
                  <w:keepLines w:val="0"/>
                  <w:pageBreakBefore w:val="0"/>
                  <w:widowControl w:val="0"/>
                  <w:kinsoku/>
                  <w:wordWrap/>
                  <w:overflowPunct/>
                  <w:topLinePunct w:val="0"/>
                  <w:bidi w:val="0"/>
                  <w:adjustRightInd/>
                  <w:snapToGrid w:val="0"/>
                  <w:ind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9FB81">
    <w:pPr>
      <w:pStyle w:val="6"/>
    </w:pPr>
    <w:r>
      <w:rPr>
        <w:sz w:val="18"/>
      </w:rPr>
      <w:pict>
        <v:shape id="_x0000_s4098" o:spid="_x0000_s4098" o:spt="202" type="#_x0000_t202" style="position:absolute;left:0pt;margin-left:0pt;margin-top:-6.3pt;height:144pt;width:144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ADFC1D2">
                <w:pPr>
                  <w:pStyle w:val="6"/>
                  <w:keepNext w:val="0"/>
                  <w:keepLines w:val="0"/>
                  <w:pageBreakBefore w:val="0"/>
                  <w:widowControl w:val="0"/>
                  <w:kinsoku/>
                  <w:wordWrap/>
                  <w:overflowPunct/>
                  <w:topLinePunct w:val="0"/>
                  <w:bidi w:val="0"/>
                  <w:adjustRightInd/>
                  <w:snapToGrid w:val="0"/>
                  <w:ind w:left="320" w:lef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B4A41"/>
    <w:multiLevelType w:val="singleLevel"/>
    <w:tmpl w:val="BC4B4A4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evenAndOddHeaders w:val="1"/>
  <w:drawingGridHorizontalSpacing w:val="158"/>
  <w:drawingGridVerticalSpacing w:val="2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1632DC7"/>
    <w:rsid w:val="022D6A3E"/>
    <w:rsid w:val="03231396"/>
    <w:rsid w:val="04BD5452"/>
    <w:rsid w:val="054D733B"/>
    <w:rsid w:val="058A7DBF"/>
    <w:rsid w:val="065B3392"/>
    <w:rsid w:val="06D32584"/>
    <w:rsid w:val="07C66F28"/>
    <w:rsid w:val="081E6B7E"/>
    <w:rsid w:val="08732C15"/>
    <w:rsid w:val="08FC70AE"/>
    <w:rsid w:val="09097F8E"/>
    <w:rsid w:val="0C4D563A"/>
    <w:rsid w:val="0CFC10BA"/>
    <w:rsid w:val="0D0B5B12"/>
    <w:rsid w:val="0D1E3CD2"/>
    <w:rsid w:val="0D4965CA"/>
    <w:rsid w:val="0D501777"/>
    <w:rsid w:val="0D7C256C"/>
    <w:rsid w:val="0D7F3E0A"/>
    <w:rsid w:val="0D961154"/>
    <w:rsid w:val="0E7476E7"/>
    <w:rsid w:val="0EEC3721"/>
    <w:rsid w:val="0F566DED"/>
    <w:rsid w:val="0FE8038D"/>
    <w:rsid w:val="109D1177"/>
    <w:rsid w:val="10FB40F0"/>
    <w:rsid w:val="1339182D"/>
    <w:rsid w:val="14171240"/>
    <w:rsid w:val="14C8078D"/>
    <w:rsid w:val="14E32ED1"/>
    <w:rsid w:val="157B75AD"/>
    <w:rsid w:val="15A9236C"/>
    <w:rsid w:val="160D4952"/>
    <w:rsid w:val="16665588"/>
    <w:rsid w:val="16884649"/>
    <w:rsid w:val="19F8741E"/>
    <w:rsid w:val="1A703458"/>
    <w:rsid w:val="1ABE55BA"/>
    <w:rsid w:val="1B3A3A66"/>
    <w:rsid w:val="1B4E4456"/>
    <w:rsid w:val="1B904D56"/>
    <w:rsid w:val="1BC05D1A"/>
    <w:rsid w:val="1C8F53E6"/>
    <w:rsid w:val="1D2034C8"/>
    <w:rsid w:val="1D601338"/>
    <w:rsid w:val="1DC046F7"/>
    <w:rsid w:val="1EE7180F"/>
    <w:rsid w:val="1EFB9863"/>
    <w:rsid w:val="1F134CFA"/>
    <w:rsid w:val="1FF342FB"/>
    <w:rsid w:val="208B4C4C"/>
    <w:rsid w:val="208F215E"/>
    <w:rsid w:val="21921F06"/>
    <w:rsid w:val="21FF3314"/>
    <w:rsid w:val="223E5BEA"/>
    <w:rsid w:val="226F2247"/>
    <w:rsid w:val="22AE0899"/>
    <w:rsid w:val="245060A9"/>
    <w:rsid w:val="24A3442A"/>
    <w:rsid w:val="256C2A6E"/>
    <w:rsid w:val="26217CFD"/>
    <w:rsid w:val="28D70B46"/>
    <w:rsid w:val="2B534939"/>
    <w:rsid w:val="2B852ADC"/>
    <w:rsid w:val="2C043675"/>
    <w:rsid w:val="2C7F577D"/>
    <w:rsid w:val="2C8608B9"/>
    <w:rsid w:val="2CDB32A9"/>
    <w:rsid w:val="2D571E2D"/>
    <w:rsid w:val="2DCC49F2"/>
    <w:rsid w:val="2F0963E2"/>
    <w:rsid w:val="2F7FF3CF"/>
    <w:rsid w:val="2FB90FA6"/>
    <w:rsid w:val="312E28D6"/>
    <w:rsid w:val="319677F1"/>
    <w:rsid w:val="328062C5"/>
    <w:rsid w:val="32D423B5"/>
    <w:rsid w:val="331035D3"/>
    <w:rsid w:val="334D04FF"/>
    <w:rsid w:val="34677222"/>
    <w:rsid w:val="34E70363"/>
    <w:rsid w:val="35335357"/>
    <w:rsid w:val="35AA111A"/>
    <w:rsid w:val="35B40F8A"/>
    <w:rsid w:val="35DE3E9E"/>
    <w:rsid w:val="3695459B"/>
    <w:rsid w:val="374E6478"/>
    <w:rsid w:val="377351E7"/>
    <w:rsid w:val="37BD1284"/>
    <w:rsid w:val="391F136F"/>
    <w:rsid w:val="39DF748F"/>
    <w:rsid w:val="3A073743"/>
    <w:rsid w:val="3B07350D"/>
    <w:rsid w:val="3B0B846C"/>
    <w:rsid w:val="3B4E3ED9"/>
    <w:rsid w:val="3B8E498A"/>
    <w:rsid w:val="3BB70A8F"/>
    <w:rsid w:val="3C30231D"/>
    <w:rsid w:val="3D207E0E"/>
    <w:rsid w:val="3D4D632E"/>
    <w:rsid w:val="3DED78D7"/>
    <w:rsid w:val="3E257538"/>
    <w:rsid w:val="3E933300"/>
    <w:rsid w:val="3FFDAE02"/>
    <w:rsid w:val="4070295E"/>
    <w:rsid w:val="407E7DCE"/>
    <w:rsid w:val="417E204F"/>
    <w:rsid w:val="41CE1905"/>
    <w:rsid w:val="427C144D"/>
    <w:rsid w:val="42EB7271"/>
    <w:rsid w:val="43862AB3"/>
    <w:rsid w:val="43C7383A"/>
    <w:rsid w:val="445A2900"/>
    <w:rsid w:val="45BD0FBE"/>
    <w:rsid w:val="461F178B"/>
    <w:rsid w:val="47971775"/>
    <w:rsid w:val="48030BB8"/>
    <w:rsid w:val="488A12DA"/>
    <w:rsid w:val="49CD147E"/>
    <w:rsid w:val="49F324AF"/>
    <w:rsid w:val="4B163AC9"/>
    <w:rsid w:val="4B205FC6"/>
    <w:rsid w:val="4BB52B12"/>
    <w:rsid w:val="4C5A0B44"/>
    <w:rsid w:val="4CD80866"/>
    <w:rsid w:val="4EA84268"/>
    <w:rsid w:val="4F171347"/>
    <w:rsid w:val="4F5D14F6"/>
    <w:rsid w:val="5095081C"/>
    <w:rsid w:val="50A5435A"/>
    <w:rsid w:val="519B5F43"/>
    <w:rsid w:val="52225539"/>
    <w:rsid w:val="533A7C53"/>
    <w:rsid w:val="54581485"/>
    <w:rsid w:val="5579695E"/>
    <w:rsid w:val="55935C72"/>
    <w:rsid w:val="55A734CB"/>
    <w:rsid w:val="56170651"/>
    <w:rsid w:val="566413BC"/>
    <w:rsid w:val="56DB7A46"/>
    <w:rsid w:val="571E6C34"/>
    <w:rsid w:val="578810DA"/>
    <w:rsid w:val="57BE7189"/>
    <w:rsid w:val="58DF4D2A"/>
    <w:rsid w:val="592A24C9"/>
    <w:rsid w:val="59E545C2"/>
    <w:rsid w:val="59FE313A"/>
    <w:rsid w:val="5B0373F5"/>
    <w:rsid w:val="5B813AB0"/>
    <w:rsid w:val="5BED4039"/>
    <w:rsid w:val="5C515CA6"/>
    <w:rsid w:val="5CA40764"/>
    <w:rsid w:val="5D5FFE65"/>
    <w:rsid w:val="5DE574D8"/>
    <w:rsid w:val="5EC86398"/>
    <w:rsid w:val="5F784928"/>
    <w:rsid w:val="631F0B45"/>
    <w:rsid w:val="6427244F"/>
    <w:rsid w:val="64AA6B34"/>
    <w:rsid w:val="66C37A39"/>
    <w:rsid w:val="66D02156"/>
    <w:rsid w:val="67DC5256"/>
    <w:rsid w:val="68F60BF8"/>
    <w:rsid w:val="69B226F6"/>
    <w:rsid w:val="6BCB2785"/>
    <w:rsid w:val="6C360CAD"/>
    <w:rsid w:val="6C6505B8"/>
    <w:rsid w:val="6D2755F6"/>
    <w:rsid w:val="6D2D20B0"/>
    <w:rsid w:val="6E241705"/>
    <w:rsid w:val="6EDD36F5"/>
    <w:rsid w:val="6F411E43"/>
    <w:rsid w:val="6FFD4F79"/>
    <w:rsid w:val="6FFF928E"/>
    <w:rsid w:val="70422316"/>
    <w:rsid w:val="714B51FB"/>
    <w:rsid w:val="723932A5"/>
    <w:rsid w:val="72EE0533"/>
    <w:rsid w:val="735A7EFB"/>
    <w:rsid w:val="756016E6"/>
    <w:rsid w:val="7621477C"/>
    <w:rsid w:val="765E0628"/>
    <w:rsid w:val="77CB0E43"/>
    <w:rsid w:val="78395DAD"/>
    <w:rsid w:val="78970D25"/>
    <w:rsid w:val="79915775"/>
    <w:rsid w:val="79F71821"/>
    <w:rsid w:val="7AA4792B"/>
    <w:rsid w:val="7AB24981"/>
    <w:rsid w:val="7AB71CD1"/>
    <w:rsid w:val="7AC1208A"/>
    <w:rsid w:val="7AD36A0D"/>
    <w:rsid w:val="7B2B51E7"/>
    <w:rsid w:val="7DFF4C5E"/>
    <w:rsid w:val="7E90740A"/>
    <w:rsid w:val="7FBEC14D"/>
    <w:rsid w:val="7FBEFA5D"/>
    <w:rsid w:val="7FEBE05B"/>
    <w:rsid w:val="83FADF5E"/>
    <w:rsid w:val="A7DF116D"/>
    <w:rsid w:val="CFFE9CDA"/>
    <w:rsid w:val="E1FF75E1"/>
    <w:rsid w:val="EF7F8713"/>
    <w:rsid w:val="F6B7EBBA"/>
    <w:rsid w:val="FFF850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next w:val="3"/>
    <w:qFormat/>
    <w:uiPriority w:val="0"/>
    <w:pPr>
      <w:widowControl w:val="0"/>
      <w:snapToGrid w:val="0"/>
      <w:spacing w:line="300" w:lineRule="auto"/>
      <w:ind w:firstLine="556"/>
      <w:jc w:val="both"/>
    </w:pPr>
    <w:rPr>
      <w:rFonts w:ascii="仿宋_GB2312" w:hAnsi="Times New Roman" w:eastAsia="仿宋_GB2312" w:cs="Times New Roman"/>
      <w:kern w:val="0"/>
      <w:sz w:val="21"/>
      <w:szCs w:val="20"/>
      <w:lang w:val="en-US" w:eastAsia="zh-CN" w:bidi="ar-SA"/>
    </w:rPr>
  </w:style>
  <w:style w:type="paragraph" w:styleId="3">
    <w:name w:val="Body Text"/>
    <w:next w:val="4"/>
    <w:qFormat/>
    <w:uiPriority w:val="0"/>
    <w:pPr>
      <w:widowControl w:val="0"/>
      <w:spacing w:after="120" w:afterLines="0"/>
      <w:jc w:val="both"/>
    </w:pPr>
    <w:rPr>
      <w:rFonts w:ascii="Times New Roman" w:hAnsi="Times New Roman" w:eastAsia="仿宋_GB2312" w:cs="Times New Roman"/>
      <w:kern w:val="2"/>
      <w:sz w:val="32"/>
      <w:szCs w:val="24"/>
      <w:lang w:val="en-US" w:eastAsia="zh-CN" w:bidi="ar-SA"/>
    </w:rPr>
  </w:style>
  <w:style w:type="paragraph" w:styleId="4">
    <w:name w:val="Body Text 2"/>
    <w:next w:val="3"/>
    <w:qFormat/>
    <w:uiPriority w:val="0"/>
    <w:pPr>
      <w:widowControl w:val="0"/>
      <w:spacing w:after="120" w:afterLines="0" w:line="480" w:lineRule="auto"/>
      <w:jc w:val="both"/>
    </w:pPr>
    <w:rPr>
      <w:rFonts w:ascii="Times New Roman" w:hAnsi="Times New Roman" w:eastAsia="仿宋_GB2312" w:cs="仿宋_GB2312"/>
      <w:kern w:val="2"/>
      <w:sz w:val="32"/>
      <w:szCs w:val="32"/>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9285</Words>
  <Characters>9330</Characters>
  <Lines>0</Lines>
  <Paragraphs>0</Paragraphs>
  <TotalTime>12</TotalTime>
  <ScaleCrop>false</ScaleCrop>
  <LinksUpToDate>false</LinksUpToDate>
  <CharactersWithSpaces>9706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2022-09-03T01:45:00Z</dcterms:created>
  <dc:creator>wh</dc:creator>
  <cp:lastModifiedBy>张奇炜</cp:lastModifiedBy>
  <cp:lastPrinted>2026-08-25T02:39:00Z</cp:lastPrinted>
  <dcterms:modified xsi:type="dcterms:W3CDTF">2026-08-27T09:38:13Z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eyJoZGlkIjoiYjkyZjA5NDc1YWQyNjQ1NWEzYTYwYWRlODFiZjVkN2QiLCJ1c2VySWQiOiIxMjUxNTU5MDUxIn0=</vt:lpwstr>
  </property>
  <property fmtid="{D5CDD505-2E9C-101B-9397-08002B2CF9AE}" pid="4" name="ICV">
    <vt:lpwstr>94BEC6DBEC6445D49F5A3441DBB7DA43_13</vt:lpwstr>
  </property>
</Properties>
</file>