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3B5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right="0" w:rightChars="0" w:firstLine="0" w:firstLineChars="0"/>
        <w:jc w:val="center"/>
        <w:textAlignment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公积金政策优惠</w:t>
      </w:r>
    </w:p>
    <w:p w14:paraId="0B5D73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Chars="0" w:firstLine="640" w:firstLineChars="200"/>
        <w:jc w:val="both"/>
        <w:textAlignment w:val="center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55B481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Chars="0" w:firstLine="720" w:firstLineChars="200"/>
        <w:jc w:val="both"/>
        <w:textAlignment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一、提取政策</w:t>
      </w:r>
    </w:p>
    <w:p w14:paraId="133CB2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Chars="0" w:firstLine="720" w:firstLineChars="200"/>
        <w:jc w:val="both"/>
        <w:textAlignment w:val="center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6"/>
          <w:szCs w:val="36"/>
          <w:lang w:val="en-US" w:eastAsia="zh-CN"/>
        </w:rPr>
        <w:t>（一）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支持提取住房公积金用于支付取暖费</w:t>
      </w:r>
    </w:p>
    <w:p w14:paraId="2A0F99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Chars="0" w:firstLine="72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缴存职工本人及配偶在乌海市行政区域内有自住住房的，可申请提取不超过两套住房的取暖费，每套住房每年每人可提取一次，每套提取金额为本年度产生的费用且不超过3000元。（从2026年开始执行）</w:t>
      </w:r>
    </w:p>
    <w:p w14:paraId="682EEE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（二）支持提取住房公积金用于支付物业费</w:t>
      </w:r>
    </w:p>
    <w:p w14:paraId="3A6A27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缴存职工本人及配偶在乌海市行政区域内有自住住房的，可申请提取不超过两套住房的物业费，每套住房每年每人可提取一次，每套提取金额为本年度产生的费用且不超过4000元。（从2026年开始执行）</w:t>
      </w:r>
    </w:p>
    <w:p w14:paraId="36D320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（三）支持提取住房公积金用于支付住宅专项维修资金</w:t>
      </w:r>
    </w:p>
    <w:p w14:paraId="0F1103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缴存职工本人及配偶、父母、子女在乌海市行政区域内购买自住住房，在持有产权期间且未超过购买自住住房提取有效期限的，可申请提取住房公积金用于实际支付的住宅专项维修资金。缴存职工本人及配偶、父母、子女累计提取金额不得超过已支付的住宅专项维修资金。</w:t>
      </w:r>
    </w:p>
    <w:p w14:paraId="2CFE89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（四）支持提取住房公积金用于支付购房契税</w:t>
      </w:r>
    </w:p>
    <w:p w14:paraId="1D7DFF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缴存职工本人及配偶、父母、子女在乌海市行政区域内购买自住住房，在持有产权期间且未超过购买自住住房提取有效期限的，可申请提取住房公积金用于实际支付的契税。缴存职工本人及配偶、父母、子女累计提取金额不得超过已支付的契税。</w:t>
      </w:r>
    </w:p>
    <w:p w14:paraId="2F4C1F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（五）支持提取住房公积金用于支付自住住房装修费用</w:t>
      </w:r>
    </w:p>
    <w:p w14:paraId="23BBC5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缴存职工本人及配偶、父母、子女在乌海市行政区域内有自住住房的，自住房城乡建设部门网签备案的《商品房买卖合同》或取得《不动产权证书》之日起5年内，可申请提取一次住房公积金用于该住房装修。提取标准为1000元/㎡，提取金额按建筑面积计算，最高不超过15万元，且同一套住房只能提取一次。缴存职工本人及配偶、父母、子女提取同一套住房的，累计提取总额不得超过核定的装修提取额度。</w:t>
      </w:r>
    </w:p>
    <w:p w14:paraId="10C31D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（六）优化偿还商业银行个人住房贷款提取频次</w:t>
      </w:r>
    </w:p>
    <w:p w14:paraId="5A95A5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将当前提取住房公积金偿还商业银行个人住房贷款提取频次“借款人正常还贷3个月以上即可申请首次提取，再次提取的最短间隔为3个月”调整为“借款人正常还贷满30日即可申请首次提取，后续可按月提取”，办理要件、流程等其他事项继续按原政策执行。</w:t>
      </w:r>
    </w:p>
    <w:p w14:paraId="01624A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（七）优化个人住房贷款业务</w:t>
      </w:r>
    </w:p>
    <w:p w14:paraId="2A693F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将使用住房公积金和商业银行“组合贷”购买商品住房的，最低首付款比例由20%调整为15%，办理要件、流程等其他事项继续按原政策执行。</w:t>
      </w:r>
    </w:p>
    <w:p w14:paraId="6B3E9C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720" w:firstLineChars="200"/>
        <w:jc w:val="both"/>
        <w:textAlignment w:val="center"/>
        <w:rPr>
          <w:rFonts w:hint="default" w:ascii="Times New Roman" w:hAnsi="Times New Roman" w:eastAsia="楷体_GB2312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>以上政策自2026年7月1日起施行，后续根据国家和自治区政策要求适时调整。</w:t>
      </w:r>
    </w:p>
    <w:p w14:paraId="6E52FFA8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Chars="0" w:firstLine="720" w:firstLineChars="200"/>
        <w:jc w:val="both"/>
        <w:textAlignment w:val="auto"/>
        <w:rPr>
          <w:rFonts w:hint="default" w:ascii="Times New Roman" w:hAnsi="Times New Roman" w:eastAsia="楷体_GB2312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二、公积金贷款额度</w:t>
      </w:r>
    </w:p>
    <w:p w14:paraId="6AB2EFA0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Chars="0" w:firstLine="720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住房公积金贷款实行“认房不认贷”政策，即以家庭实有住房套数作为房屋套数认定标准，不涉及贷款信息。</w:t>
      </w:r>
    </w:p>
    <w:p w14:paraId="22501E5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Chars="0" w:firstLine="720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高层次人才在本市购买首套住房，单方缴存公积金的，最高贷款额度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 w:bidi="ar"/>
        </w:rPr>
        <w:t>60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万元，夫妻双方缴存公积金的，最高贷款额度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 w:bidi="ar"/>
        </w:rPr>
        <w:t>100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万元。</w:t>
      </w:r>
    </w:p>
    <w:p w14:paraId="1AC86D99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Chars="0" w:firstLine="720" w:firstLineChars="200"/>
        <w:jc w:val="both"/>
        <w:textAlignment w:val="auto"/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sz w:val="36"/>
          <w:szCs w:val="36"/>
          <w:highlight w:val="none"/>
        </w:rPr>
        <w:t>三孩以上的缴存职工家庭，申请住房公积金贷款购买本市自住住房的，单方缴存住房公积金的职工最高可贷额度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60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</w:rPr>
        <w:t>万元，夫妻双方缴存住房公积金的职工最高可贷额度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</w:rPr>
        <w:t>万元。</w:t>
      </w:r>
    </w:p>
    <w:p w14:paraId="187823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Chars="0" w:firstLine="720" w:firstLineChars="200"/>
        <w:jc w:val="both"/>
        <w:textAlignment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三、下调公积金贷款利率</w:t>
      </w:r>
    </w:p>
    <w:p w14:paraId="68A69D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720" w:firstLineChars="200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下调个人住房公积金贷款利率0.25个百分点，5年以下（含5年）和5年以上首套个人住房公积金贷款利率分别调整为2.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%和2.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%，5年以下（含5年）和5年以上第二套个人住房公积金贷款利率分别调整为不低于2.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 w:bidi="ar"/>
        </w:rPr>
        <w:t>52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5%和3.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val="en-US" w:eastAsia="zh-CN" w:bidi="ar"/>
        </w:rPr>
        <w:t>075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  <w:lang w:bidi="ar"/>
        </w:rPr>
        <w:t>%。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46BA3C-F482-43DE-B039-38693B1B89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CC2ED6D-5B21-45C3-AFB3-1F735A19861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AB9A27F-52A5-4844-B0C0-26E87742BD5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90A86E5-5462-4C6E-9226-DB83D27153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AAE0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067E11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067E11">
                    <w:pPr>
                      <w:pStyle w:val="2"/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D6831"/>
    <w:rsid w:val="0220100F"/>
    <w:rsid w:val="118000C4"/>
    <w:rsid w:val="125C6E10"/>
    <w:rsid w:val="13E8082E"/>
    <w:rsid w:val="19773D3C"/>
    <w:rsid w:val="1FF90882"/>
    <w:rsid w:val="206A73FA"/>
    <w:rsid w:val="4E4D1154"/>
    <w:rsid w:val="56157B41"/>
    <w:rsid w:val="5F7D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952512-b343-420b-a215-3f91d0f552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1240</Words>
  <Characters>1289</Characters>
  <Lines>0</Lines>
  <Paragraphs>0</Paragraphs>
  <TotalTime>297</TotalTime>
  <ScaleCrop>false</ScaleCrop>
  <LinksUpToDate>false</LinksUpToDate>
  <CharactersWithSpaces>1289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2026-06-29T07:06:00Z</dcterms:created>
  <dc:creator>唔西迪西</dc:creator>
  <cp:lastModifiedBy>唔西迪西</cp:lastModifiedBy>
  <cp:lastPrinted>2026-08-24T10:04:53Z</cp:lastPrinted>
  <dcterms:modified xsi:type="dcterms:W3CDTF">2026-08-24T10:24:09Z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0F95DEC68BFB40B8BBD423BD7C96732A_11</vt:lpwstr>
  </property>
  <property fmtid="{D5CDD505-2E9C-101B-9397-08002B2CF9AE}" pid="4" name="KSOTemplateDocerSaveRecord">
    <vt:lpwstr>eyJoZGlkIjoiZTM3YWQyOGQxMWYyYTJlODk0YzY4ZjcwNTlkYzc0MzgiLCJ1c2VySWQiOiI0MDI2MjM2MzEifQ==</vt:lpwstr>
  </property>
</Properties>
</file>