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乌海市城市公共停车场管理实施意见</w:t>
      </w:r>
    </w:p>
    <w:p>
      <w:pPr>
        <w:rPr>
          <w:rFonts w:hint="eastAsia" w:ascii="仿宋" w:hAnsi="仿宋" w:eastAsia="仿宋" w:cs="仿宋"/>
          <w:sz w:val="18"/>
          <w:szCs w:val="18"/>
          <w:lang w:val="en-US" w:eastAsia="zh-CN"/>
        </w:rPr>
      </w:pPr>
    </w:p>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lang w:val="en-US" w:eastAsia="zh-CN"/>
        </w:rPr>
      </w:pPr>
      <w:r>
        <w:rPr>
          <w:rFonts w:hint="eastAsia" w:ascii="黑体" w:hAnsi="黑体" w:eastAsia="黑体" w:cs="黑体"/>
          <w:sz w:val="32"/>
          <w:szCs w:val="32"/>
          <w:lang w:val="en-US" w:eastAsia="zh-CN"/>
        </w:rPr>
        <w:t>第一章  总则</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baseline"/>
        <w:rPr>
          <w:rFonts w:hint="eastAsia" w:ascii="仿宋" w:hAnsi="仿宋" w:eastAsia="仿宋" w:cs="仿宋"/>
          <w:sz w:val="32"/>
          <w:szCs w:val="32"/>
          <w:u w:val="none"/>
          <w:lang w:val="en-US" w:eastAsia="zh-CN"/>
        </w:rPr>
      </w:pPr>
      <w:r>
        <w:rPr>
          <w:rFonts w:hint="eastAsia" w:ascii="仿宋" w:hAnsi="仿宋" w:eastAsia="仿宋" w:cs="仿宋"/>
          <w:b/>
          <w:bCs/>
          <w:sz w:val="32"/>
          <w:szCs w:val="32"/>
          <w:u w:val="none"/>
          <w:lang w:val="en-US" w:eastAsia="zh-CN"/>
        </w:rPr>
        <w:t>第一条</w:t>
      </w:r>
      <w:r>
        <w:rPr>
          <w:rFonts w:hint="eastAsia" w:ascii="仿宋" w:hAnsi="仿宋" w:eastAsia="仿宋" w:cs="仿宋"/>
          <w:sz w:val="32"/>
          <w:szCs w:val="32"/>
          <w:u w:val="none"/>
          <w:lang w:val="en-US" w:eastAsia="zh-CN"/>
        </w:rPr>
        <w:t xml:space="preserve"> 为加强停车场规划、建设和管理,规范公共停车场的服务活动及停车秩序，改善城市交通环境，提升城市运行效率，根据《中华人民共和国道路交通安全法》、《中华人民共和国城乡规划法》、《中华人民共和国土地管理法》和《内蒙古自治区城市停车场管理办法》等国家有关法律法规和政策的规定，结合本市实际，制定本实施意见。</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baseline"/>
        <w:rPr>
          <w:rFonts w:hint="eastAsia" w:ascii="仿宋" w:hAnsi="仿宋" w:eastAsia="仿宋" w:cs="仿宋"/>
          <w:sz w:val="32"/>
          <w:szCs w:val="32"/>
          <w:u w:val="none"/>
          <w:lang w:val="en-US" w:eastAsia="zh-CN"/>
        </w:rPr>
      </w:pPr>
      <w:r>
        <w:rPr>
          <w:rFonts w:hint="eastAsia" w:ascii="仿宋" w:hAnsi="仿宋" w:eastAsia="仿宋" w:cs="仿宋"/>
          <w:b/>
          <w:bCs/>
          <w:sz w:val="32"/>
          <w:szCs w:val="32"/>
          <w:u w:val="none"/>
          <w:lang w:val="en-US" w:eastAsia="zh-CN"/>
        </w:rPr>
        <w:t>第二条</w:t>
      </w:r>
      <w:r>
        <w:rPr>
          <w:rFonts w:hint="eastAsia" w:ascii="仿宋" w:hAnsi="仿宋" w:eastAsia="仿宋" w:cs="仿宋"/>
          <w:sz w:val="32"/>
          <w:szCs w:val="32"/>
          <w:u w:val="none"/>
          <w:lang w:val="en-US" w:eastAsia="zh-CN"/>
        </w:rPr>
        <w:t xml:space="preserve"> 本实施意见所称公共停车场，是指在城市建成区内建设（设置）的主要为社会车辆提供服务的停车场所（含道路停车泊位）。</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baseline"/>
        <w:rPr>
          <w:rFonts w:hint="eastAsia" w:ascii="仿宋" w:hAnsi="仿宋" w:eastAsia="仿宋" w:cs="仿宋"/>
          <w:sz w:val="32"/>
          <w:szCs w:val="32"/>
          <w:u w:val="none"/>
          <w:lang w:val="en-US" w:eastAsia="zh-CN"/>
        </w:rPr>
      </w:pPr>
      <w:r>
        <w:rPr>
          <w:rFonts w:hint="eastAsia" w:ascii="仿宋" w:hAnsi="仿宋" w:eastAsia="仿宋" w:cs="仿宋"/>
          <w:b/>
          <w:bCs/>
          <w:sz w:val="32"/>
          <w:szCs w:val="32"/>
          <w:u w:val="none"/>
          <w:lang w:val="en-US" w:eastAsia="zh-CN"/>
        </w:rPr>
        <w:t>第三条</w:t>
      </w:r>
      <w:r>
        <w:rPr>
          <w:rFonts w:hint="eastAsia" w:ascii="仿宋" w:hAnsi="仿宋" w:eastAsia="仿宋" w:cs="仿宋"/>
          <w:sz w:val="32"/>
          <w:szCs w:val="32"/>
          <w:u w:val="none"/>
          <w:lang w:val="en-US" w:eastAsia="zh-CN"/>
        </w:rPr>
        <w:t xml:space="preserve"> 本市行政区域内公共停车场的规划、审批、建设、验收、运营和监管适用本实施意见。</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baseline"/>
        <w:rPr>
          <w:rFonts w:hint="eastAsia" w:ascii="仿宋" w:hAnsi="仿宋" w:eastAsia="仿宋" w:cs="仿宋"/>
          <w:sz w:val="32"/>
          <w:szCs w:val="32"/>
          <w:u w:val="none"/>
          <w:lang w:val="en-US" w:eastAsia="zh-CN"/>
        </w:rPr>
      </w:pPr>
      <w:r>
        <w:rPr>
          <w:rFonts w:hint="eastAsia" w:ascii="仿宋" w:hAnsi="仿宋" w:eastAsia="仿宋" w:cs="仿宋"/>
          <w:b/>
          <w:bCs/>
          <w:sz w:val="32"/>
          <w:szCs w:val="32"/>
          <w:u w:val="none"/>
          <w:lang w:val="en-US" w:eastAsia="zh-CN"/>
        </w:rPr>
        <w:t>第四条</w:t>
      </w:r>
      <w:r>
        <w:rPr>
          <w:rFonts w:hint="eastAsia" w:ascii="仿宋" w:hAnsi="仿宋" w:eastAsia="仿宋" w:cs="仿宋"/>
          <w:sz w:val="32"/>
          <w:szCs w:val="32"/>
          <w:u w:val="none"/>
          <w:lang w:val="en-US" w:eastAsia="zh-CN"/>
        </w:rPr>
        <w:t xml:space="preserve"> 公共停车场的规划、审批、建设、验收、运营和监管应当以保障交通畅通有序、资源优化配置为目的，遵循政府推动、市场主体、统筹规划、规模合理、协调发展、方便群众、规范管理的原则。</w:t>
      </w:r>
    </w:p>
    <w:p>
      <w:pPr>
        <w:pStyle w:val="2"/>
        <w:keepNext w:val="0"/>
        <w:keepLines w:val="0"/>
        <w:pageBreakBefore w:val="0"/>
        <w:widowControl/>
        <w:kinsoku/>
        <w:wordWrap/>
        <w:overflowPunct/>
        <w:topLinePunct w:val="0"/>
        <w:autoSpaceDE/>
        <w:autoSpaceDN/>
        <w:bidi w:val="0"/>
        <w:adjustRightInd/>
        <w:snapToGrid/>
        <w:spacing w:line="240" w:lineRule="auto"/>
        <w:textAlignment w:val="baseline"/>
        <w:rPr>
          <w:rFonts w:hint="eastAsia"/>
          <w:u w:val="none"/>
          <w:lang w:val="en-US" w:eastAsia="zh-CN"/>
        </w:rPr>
      </w:pPr>
    </w:p>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第二章  规划和建设</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baseline"/>
        <w:rPr>
          <w:rFonts w:hint="eastAsia" w:ascii="仿宋" w:hAnsi="仿宋" w:eastAsia="仿宋" w:cs="仿宋"/>
          <w:sz w:val="32"/>
          <w:szCs w:val="32"/>
          <w:u w:val="none"/>
          <w:lang w:val="en-US" w:eastAsia="zh-CN"/>
        </w:rPr>
      </w:pPr>
      <w:r>
        <w:rPr>
          <w:rFonts w:hint="eastAsia" w:ascii="仿宋" w:hAnsi="仿宋" w:eastAsia="仿宋" w:cs="仿宋"/>
          <w:b/>
          <w:bCs/>
          <w:sz w:val="32"/>
          <w:szCs w:val="32"/>
          <w:u w:val="none"/>
          <w:lang w:val="en-US" w:eastAsia="zh-CN"/>
        </w:rPr>
        <w:t>第五条</w:t>
      </w:r>
      <w:r>
        <w:rPr>
          <w:rFonts w:hint="eastAsia" w:ascii="仿宋" w:hAnsi="仿宋" w:eastAsia="仿宋" w:cs="仿宋"/>
          <w:sz w:val="32"/>
          <w:szCs w:val="32"/>
          <w:u w:val="none"/>
          <w:lang w:val="en-US" w:eastAsia="zh-CN"/>
        </w:rPr>
        <w:t xml:space="preserve"> 住房和城乡建设部门应当根据乌海市国土空间总体规划、城市综合交通体系规划及交通需求状况，科学编制公共停车场专项规划和年度建设计划，报同级人民政府批准实施。停车场专项规划应当明确停车场布局、建设规模和建设标准等内容，区分不同区域的功能要求，按照差异化供给策略和集约紧凑发展模式，统筹地上地下空间利用。</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baseline"/>
        <w:rPr>
          <w:rFonts w:hint="eastAsia" w:ascii="仿宋" w:hAnsi="仿宋" w:eastAsia="仿宋" w:cs="仿宋"/>
          <w:sz w:val="32"/>
          <w:szCs w:val="32"/>
          <w:u w:val="none"/>
          <w:lang w:val="en-US" w:eastAsia="zh-CN"/>
        </w:rPr>
      </w:pPr>
      <w:r>
        <w:rPr>
          <w:rFonts w:hint="eastAsia" w:ascii="仿宋" w:hAnsi="仿宋" w:eastAsia="仿宋" w:cs="仿宋"/>
          <w:b/>
          <w:bCs/>
          <w:sz w:val="32"/>
          <w:szCs w:val="32"/>
          <w:u w:val="none"/>
          <w:lang w:val="en-US" w:eastAsia="zh-CN"/>
        </w:rPr>
        <w:t>第六条</w:t>
      </w:r>
      <w:r>
        <w:rPr>
          <w:rFonts w:hint="eastAsia" w:ascii="仿宋" w:hAnsi="仿宋" w:eastAsia="仿宋" w:cs="仿宋"/>
          <w:sz w:val="32"/>
          <w:szCs w:val="32"/>
          <w:u w:val="none"/>
          <w:lang w:val="en-US" w:eastAsia="zh-CN"/>
        </w:rPr>
        <w:t xml:space="preserve"> 自然资源部门应当将公共停车场专项规划纳入乌海市国土空间总体规划，按照国家相关规定明确公共停车场规划审批条件、用地性质；在控制性详细规划阶段确定城市公共停车场用地布局控制指标和建筑设计原则；依法确定公共停车场土地使用年期，细化供地政策，为公共停车场建设提供用地保障。规范公共停车场产权手续办理和土地供后管理，加强用地监督。</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baseline"/>
        <w:rPr>
          <w:rFonts w:hint="eastAsia" w:ascii="仿宋" w:hAnsi="仿宋" w:eastAsia="仿宋" w:cs="仿宋"/>
          <w:sz w:val="32"/>
          <w:szCs w:val="32"/>
          <w:u w:val="none"/>
          <w:lang w:val="en-US" w:eastAsia="zh-CN"/>
        </w:rPr>
      </w:pPr>
      <w:r>
        <w:rPr>
          <w:rFonts w:hint="eastAsia" w:ascii="仿宋" w:hAnsi="仿宋" w:eastAsia="仿宋" w:cs="仿宋"/>
          <w:b/>
          <w:bCs/>
          <w:sz w:val="32"/>
          <w:szCs w:val="32"/>
          <w:u w:val="none"/>
          <w:lang w:val="en-US" w:eastAsia="zh-CN"/>
        </w:rPr>
        <w:t>第七条</w:t>
      </w:r>
      <w:r>
        <w:rPr>
          <w:rFonts w:hint="eastAsia" w:ascii="仿宋" w:hAnsi="仿宋" w:eastAsia="仿宋" w:cs="仿宋"/>
          <w:sz w:val="32"/>
          <w:szCs w:val="32"/>
          <w:u w:val="none"/>
          <w:lang w:val="en-US" w:eastAsia="zh-CN"/>
        </w:rPr>
        <w:t xml:space="preserve"> 公共停车场的规划、建设应当以建筑物配建停车场为主、独立建设公共停车场为辅、设置临时公共停车场和道路停车泊位为补充，适度满足刚性停车需求，新建、改建、扩建公共建筑、大（中）型建筑、交通枢纽、商业街区、旅游区、居住区等，应当考虑机动车停放需求，按照停车场设置技术规范和标准配建、增建公共停车场。</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baseline"/>
        <w:rPr>
          <w:rFonts w:hint="eastAsia" w:ascii="仿宋" w:hAnsi="仿宋" w:eastAsia="仿宋" w:cs="仿宋"/>
          <w:sz w:val="32"/>
          <w:szCs w:val="32"/>
          <w:u w:val="none"/>
          <w:lang w:val="en-US" w:eastAsia="zh-CN"/>
        </w:rPr>
      </w:pPr>
      <w:r>
        <w:rPr>
          <w:rFonts w:hint="eastAsia" w:ascii="仿宋" w:hAnsi="仿宋" w:eastAsia="仿宋" w:cs="仿宋"/>
          <w:b/>
          <w:bCs/>
          <w:sz w:val="32"/>
          <w:szCs w:val="32"/>
          <w:u w:val="none"/>
          <w:lang w:val="en-US" w:eastAsia="zh-CN"/>
        </w:rPr>
        <w:t>第八条</w:t>
      </w:r>
      <w:r>
        <w:rPr>
          <w:rFonts w:hint="eastAsia" w:ascii="仿宋" w:hAnsi="仿宋" w:eastAsia="仿宋" w:cs="仿宋"/>
          <w:sz w:val="32"/>
          <w:szCs w:val="32"/>
          <w:u w:val="none"/>
          <w:lang w:val="en-US" w:eastAsia="zh-CN"/>
        </w:rPr>
        <w:t xml:space="preserve"> 在不影响原有设施使用功能和安全的前提下，鼓励利用人防工程、绿地广场地下空间、未开发的储备地、代征以及收储的边角地等建设公共停车场。</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baseline"/>
        <w:rPr>
          <w:rFonts w:hint="eastAsia" w:ascii="仿宋" w:hAnsi="仿宋" w:eastAsia="仿宋" w:cs="仿宋"/>
          <w:sz w:val="32"/>
          <w:szCs w:val="32"/>
          <w:u w:val="none"/>
          <w:lang w:val="en-US" w:eastAsia="zh-CN"/>
        </w:rPr>
      </w:pPr>
      <w:r>
        <w:rPr>
          <w:rFonts w:hint="eastAsia" w:ascii="仿宋" w:hAnsi="仿宋" w:eastAsia="仿宋" w:cs="仿宋"/>
          <w:b/>
          <w:bCs/>
          <w:sz w:val="32"/>
          <w:szCs w:val="32"/>
          <w:u w:val="none"/>
          <w:lang w:val="en-US" w:eastAsia="zh-CN"/>
        </w:rPr>
        <w:t>第九条</w:t>
      </w:r>
      <w:r>
        <w:rPr>
          <w:rFonts w:hint="eastAsia" w:ascii="仿宋" w:hAnsi="仿宋" w:eastAsia="仿宋" w:cs="仿宋"/>
          <w:sz w:val="32"/>
          <w:szCs w:val="32"/>
          <w:u w:val="none"/>
          <w:lang w:val="en-US" w:eastAsia="zh-CN"/>
        </w:rPr>
        <w:t xml:space="preserve"> 建设工程停车设施与主体工程同步配建、改建、扩建的，应当同时设计、同时施工、同时验收、同时投入使用。建设单位应当报请住房和城乡建设、应急管理、公安机关交通管理、人防等相关部门开展竣工联合验收，凡不符合停车场设置的技术规范和标准的，不得交付使用。</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baseline"/>
        <w:rPr>
          <w:rFonts w:hint="eastAsia" w:ascii="仿宋" w:hAnsi="仿宋" w:eastAsia="仿宋" w:cs="仿宋"/>
          <w:sz w:val="32"/>
          <w:szCs w:val="32"/>
          <w:u w:val="none"/>
          <w:lang w:val="en-US" w:eastAsia="zh-CN"/>
        </w:rPr>
      </w:pPr>
      <w:r>
        <w:rPr>
          <w:rFonts w:hint="eastAsia" w:ascii="仿宋" w:hAnsi="仿宋" w:eastAsia="仿宋" w:cs="仿宋"/>
          <w:b/>
          <w:bCs/>
          <w:sz w:val="32"/>
          <w:szCs w:val="32"/>
          <w:u w:val="none"/>
          <w:lang w:val="en-US" w:eastAsia="zh-CN"/>
        </w:rPr>
        <w:t>第十条</w:t>
      </w:r>
      <w:r>
        <w:rPr>
          <w:rFonts w:hint="eastAsia" w:ascii="仿宋" w:hAnsi="仿宋" w:eastAsia="仿宋" w:cs="仿宋"/>
          <w:sz w:val="32"/>
          <w:szCs w:val="32"/>
          <w:u w:val="none"/>
          <w:lang w:val="en-US" w:eastAsia="zh-CN"/>
        </w:rPr>
        <w:t xml:space="preserve"> 新建、改建、扩建停车场应当遵守下列规定：</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（一）不得影响道路交通秩序和公众安全。</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（二）不得占用公共绿地。</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（三）不得占用消防、紧急抢险通道。</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（四）符合停车场设置技术规范和标准。</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（五）法律、法规规定的其他情形。</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baseline"/>
        <w:rPr>
          <w:rFonts w:hint="eastAsia" w:ascii="仿宋" w:hAnsi="仿宋" w:eastAsia="仿宋" w:cs="仿宋"/>
          <w:sz w:val="32"/>
          <w:szCs w:val="32"/>
          <w:u w:val="none"/>
          <w:lang w:val="en-US" w:eastAsia="zh-CN"/>
        </w:rPr>
      </w:pPr>
      <w:r>
        <w:rPr>
          <w:rFonts w:hint="eastAsia" w:ascii="仿宋" w:hAnsi="仿宋" w:eastAsia="仿宋" w:cs="仿宋"/>
          <w:b/>
          <w:bCs/>
          <w:sz w:val="32"/>
          <w:szCs w:val="32"/>
          <w:u w:val="none"/>
          <w:lang w:val="en-US" w:eastAsia="zh-CN"/>
        </w:rPr>
        <w:t>第十一条</w:t>
      </w:r>
      <w:r>
        <w:rPr>
          <w:rFonts w:hint="eastAsia" w:ascii="仿宋" w:hAnsi="仿宋" w:eastAsia="仿宋" w:cs="仿宋"/>
          <w:sz w:val="32"/>
          <w:szCs w:val="32"/>
          <w:u w:val="none"/>
          <w:lang w:val="en-US" w:eastAsia="zh-CN"/>
        </w:rPr>
        <w:t xml:space="preserve"> 待建土地、空置场所等可以由所在地人民政府组织协调设置临时公共停车场（位）。建设临时公共停车场应当对场地进行硬化，设置相应的标志标线，不得影响消防和市政基础设施等的正常使用及道路交通安全。</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baseline"/>
        <w:rPr>
          <w:rFonts w:hint="eastAsia" w:ascii="仿宋" w:hAnsi="仿宋" w:eastAsia="仿宋" w:cs="仿宋"/>
          <w:sz w:val="32"/>
          <w:szCs w:val="32"/>
          <w:u w:val="none"/>
          <w:lang w:val="en-US" w:eastAsia="zh-CN"/>
        </w:rPr>
      </w:pPr>
      <w:r>
        <w:rPr>
          <w:rFonts w:hint="eastAsia" w:ascii="仿宋" w:hAnsi="仿宋" w:eastAsia="仿宋" w:cs="仿宋"/>
          <w:b/>
          <w:bCs/>
          <w:sz w:val="32"/>
          <w:szCs w:val="32"/>
          <w:u w:val="none"/>
          <w:lang w:val="en-US" w:eastAsia="zh-CN"/>
        </w:rPr>
        <w:t>第十二条</w:t>
      </w:r>
      <w:r>
        <w:rPr>
          <w:rFonts w:hint="eastAsia" w:ascii="仿宋" w:hAnsi="仿宋" w:eastAsia="仿宋" w:cs="仿宋"/>
          <w:sz w:val="32"/>
          <w:szCs w:val="32"/>
          <w:u w:val="none"/>
          <w:lang w:val="en-US" w:eastAsia="zh-CN"/>
        </w:rPr>
        <w:t xml:space="preserve"> 市城市管理综合执法部门应当根据公共停车场建设标准、城市交通发展情况和国家相关规定，对公共停车场建设进行审批，并向社会公布审批时限、程序。对于应当实行政府定价的停车场，在停车场审批后30日内到同级价格主管部门履行定价程序。利用自有土地建设的公共停车场及临时停车场，可实行备案制管理。</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baseline"/>
        <w:rPr>
          <w:rFonts w:hint="eastAsia" w:ascii="仿宋" w:hAnsi="仿宋" w:eastAsia="仿宋" w:cs="仿宋"/>
          <w:sz w:val="32"/>
          <w:szCs w:val="32"/>
          <w:u w:val="none"/>
          <w:lang w:val="en-US" w:eastAsia="zh-CN"/>
        </w:rPr>
      </w:pPr>
      <w:r>
        <w:rPr>
          <w:rFonts w:hint="eastAsia" w:ascii="仿宋" w:hAnsi="仿宋" w:eastAsia="仿宋" w:cs="仿宋"/>
          <w:b/>
          <w:bCs/>
          <w:sz w:val="32"/>
          <w:szCs w:val="32"/>
          <w:u w:val="none"/>
          <w:lang w:val="en-US" w:eastAsia="zh-CN"/>
        </w:rPr>
        <w:t>第十三条</w:t>
      </w:r>
      <w:r>
        <w:rPr>
          <w:rFonts w:hint="eastAsia" w:ascii="仿宋" w:hAnsi="仿宋" w:eastAsia="仿宋" w:cs="仿宋"/>
          <w:sz w:val="32"/>
          <w:szCs w:val="32"/>
          <w:u w:val="none"/>
          <w:lang w:val="en-US" w:eastAsia="zh-CN"/>
        </w:rPr>
        <w:t xml:space="preserve"> 在公共停车场不能满足停车需求的区域，公安机关交通管理部门应当按照以下要求设置道路停车泊位：</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(一)保障行人、车辆通行及安全。</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(二)符合区域道路车辆停放总量要求。</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(三)与区域停放车辆供求状况、车辆通行条件和道路承载能力相适应。</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(四)对防汛、消防等应急救援情况进行评估预防。</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(五)符合法律、法规的其他相关规定。</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公安机关交通管理部门根据道路交通状况、周边停车场情况等综合因素，及时对路内停车泊位进行评估调整，实行动态管理，建立统一的道路停车标识、标志。除公安机关交通管理部门以外，任何单位和个人不得在城市道路范围内设置、撤除道路停车泊位。</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baseline"/>
        <w:rPr>
          <w:rFonts w:hint="eastAsia" w:ascii="仿宋" w:hAnsi="仿宋" w:eastAsia="仿宋" w:cs="仿宋"/>
          <w:sz w:val="32"/>
          <w:szCs w:val="32"/>
          <w:u w:val="none"/>
          <w:lang w:val="en-US" w:eastAsia="zh-CN"/>
        </w:rPr>
      </w:pPr>
      <w:r>
        <w:rPr>
          <w:rFonts w:hint="eastAsia" w:ascii="仿宋" w:hAnsi="仿宋" w:eastAsia="仿宋" w:cs="仿宋"/>
          <w:b/>
          <w:bCs/>
          <w:sz w:val="32"/>
          <w:szCs w:val="32"/>
          <w:u w:val="none"/>
          <w:lang w:val="en-US" w:eastAsia="zh-CN"/>
        </w:rPr>
        <w:t>第十四条</w:t>
      </w:r>
      <w:r>
        <w:rPr>
          <w:rFonts w:hint="eastAsia" w:ascii="仿宋" w:hAnsi="仿宋" w:eastAsia="仿宋" w:cs="仿宋"/>
          <w:sz w:val="32"/>
          <w:szCs w:val="32"/>
          <w:u w:val="none"/>
          <w:lang w:val="en-US" w:eastAsia="zh-CN"/>
        </w:rPr>
        <w:t xml:space="preserve"> 停车场建设单位建设公共停车场时，应当同步配建停车场实时动态信息系统。公共停车场已经建成的，停车场经营管理单位应当补建停车场实时动态信息系统。停车场信息管理系统应当具备智慧化管理功能，实现在线电子统一支付、现金支付等多种支付方式。公共停车场实时动态系统应当接入本地区停车基础数据库。</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baseline"/>
        <w:rPr>
          <w:rFonts w:hint="eastAsia" w:ascii="仿宋" w:hAnsi="仿宋" w:eastAsia="仿宋" w:cs="仿宋"/>
          <w:sz w:val="32"/>
          <w:szCs w:val="32"/>
          <w:u w:val="none"/>
          <w:lang w:val="en-US" w:eastAsia="zh-CN"/>
        </w:rPr>
      </w:pPr>
      <w:r>
        <w:rPr>
          <w:rFonts w:hint="eastAsia" w:ascii="仿宋" w:hAnsi="仿宋" w:eastAsia="仿宋" w:cs="仿宋"/>
          <w:b/>
          <w:bCs/>
          <w:sz w:val="32"/>
          <w:szCs w:val="32"/>
          <w:u w:val="none"/>
          <w:lang w:val="en-US" w:eastAsia="zh-CN"/>
        </w:rPr>
        <w:t>第十五条</w:t>
      </w:r>
      <w:r>
        <w:rPr>
          <w:rFonts w:hint="eastAsia" w:ascii="仿宋" w:hAnsi="仿宋" w:eastAsia="仿宋" w:cs="仿宋"/>
          <w:sz w:val="32"/>
          <w:szCs w:val="32"/>
          <w:u w:val="none"/>
          <w:lang w:val="en-US" w:eastAsia="zh-CN"/>
        </w:rPr>
        <w:t xml:space="preserve"> 公共停车场应当符合专项规划建设标准，建设充电设施或预留建设安装条件的车位比例不应低于10%，既有公共停车场配建充电设施，宜结合电动汽车的充电需求和配电网现状合理规划、分步实施。</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baseline"/>
        <w:rPr>
          <w:rFonts w:hint="eastAsia" w:ascii="仿宋" w:hAnsi="仿宋" w:eastAsia="仿宋" w:cs="仿宋"/>
          <w:sz w:val="32"/>
          <w:szCs w:val="32"/>
          <w:u w:val="none"/>
          <w:lang w:val="en-US" w:eastAsia="zh-CN"/>
        </w:rPr>
      </w:pPr>
      <w:r>
        <w:rPr>
          <w:rFonts w:hint="eastAsia" w:ascii="仿宋" w:hAnsi="仿宋" w:eastAsia="仿宋" w:cs="仿宋"/>
          <w:b/>
          <w:bCs/>
          <w:sz w:val="32"/>
          <w:szCs w:val="32"/>
          <w:u w:val="none"/>
          <w:lang w:val="en-US" w:eastAsia="zh-CN"/>
        </w:rPr>
        <w:t>第十六条</w:t>
      </w:r>
      <w:r>
        <w:rPr>
          <w:rFonts w:hint="eastAsia" w:ascii="仿宋" w:hAnsi="仿宋" w:eastAsia="仿宋" w:cs="仿宋"/>
          <w:sz w:val="32"/>
          <w:szCs w:val="32"/>
          <w:u w:val="none"/>
          <w:lang w:val="en-US" w:eastAsia="zh-CN"/>
        </w:rPr>
        <w:t xml:space="preserve">  公共停车场应当按照无障碍设施工程建设标准设置并标明无障碍车位。</w:t>
      </w:r>
    </w:p>
    <w:p>
      <w:pPr>
        <w:pStyle w:val="4"/>
        <w:keepNext w:val="0"/>
        <w:keepLines w:val="0"/>
        <w:pageBreakBefore w:val="0"/>
        <w:widowControl/>
        <w:kinsoku/>
        <w:wordWrap/>
        <w:overflowPunct/>
        <w:topLinePunct w:val="0"/>
        <w:autoSpaceDE/>
        <w:autoSpaceDN/>
        <w:bidi w:val="0"/>
        <w:adjustRightInd/>
        <w:snapToGrid/>
        <w:spacing w:line="240" w:lineRule="auto"/>
        <w:textAlignment w:val="baseline"/>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 w:hAnsi="仿宋" w:eastAsia="仿宋" w:cs="仿宋"/>
          <w:sz w:val="32"/>
          <w:szCs w:val="32"/>
          <w:u w:val="none"/>
          <w:lang w:val="en-US" w:eastAsia="zh-CN"/>
        </w:rPr>
      </w:pPr>
      <w:r>
        <w:rPr>
          <w:rFonts w:hint="eastAsia" w:ascii="黑体" w:hAnsi="黑体" w:eastAsia="黑体" w:cs="黑体"/>
          <w:sz w:val="32"/>
          <w:szCs w:val="32"/>
          <w:u w:val="none"/>
          <w:lang w:val="en-US" w:eastAsia="zh-CN"/>
        </w:rPr>
        <w:t>第三章  运营和管理</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baseline"/>
        <w:rPr>
          <w:rFonts w:hint="eastAsia" w:ascii="仿宋" w:hAnsi="仿宋" w:eastAsia="仿宋" w:cs="仿宋"/>
          <w:sz w:val="32"/>
          <w:szCs w:val="32"/>
          <w:u w:val="none"/>
          <w:lang w:val="en-US" w:eastAsia="zh-CN"/>
        </w:rPr>
      </w:pPr>
      <w:r>
        <w:rPr>
          <w:rFonts w:hint="eastAsia" w:ascii="仿宋" w:hAnsi="仿宋" w:eastAsia="仿宋" w:cs="仿宋"/>
          <w:b/>
          <w:bCs/>
          <w:sz w:val="32"/>
          <w:szCs w:val="32"/>
          <w:u w:val="none"/>
          <w:lang w:val="en-US" w:eastAsia="zh-CN"/>
        </w:rPr>
        <w:t>第十七条</w:t>
      </w:r>
      <w:r>
        <w:rPr>
          <w:rFonts w:hint="eastAsia" w:ascii="仿宋" w:hAnsi="仿宋" w:eastAsia="仿宋" w:cs="仿宋"/>
          <w:sz w:val="32"/>
          <w:szCs w:val="32"/>
          <w:u w:val="none"/>
          <w:lang w:val="en-US" w:eastAsia="zh-CN"/>
        </w:rPr>
        <w:t xml:space="preserve"> 城市管理综合执法部门是公共停车场的主管部门。负责组织开展数据信息整合和城市停车普查，摸清停车资源底数，建立城市停车设施供给能力评价制度、停车基础数据库和</w:t>
      </w:r>
      <w:r>
        <w:rPr>
          <w:rFonts w:hint="eastAsia" w:ascii="仿宋" w:hAnsi="仿宋" w:eastAsia="仿宋" w:cs="仿宋"/>
          <w:sz w:val="32"/>
          <w:szCs w:val="32"/>
          <w:u w:val="none"/>
          <w:lang w:eastAsia="zh-CN"/>
        </w:rPr>
        <w:t>智慧停车信息管理系统，</w:t>
      </w:r>
      <w:r>
        <w:rPr>
          <w:rFonts w:hint="eastAsia" w:ascii="仿宋" w:hAnsi="仿宋" w:eastAsia="仿宋" w:cs="仿宋"/>
          <w:sz w:val="32"/>
          <w:szCs w:val="32"/>
          <w:u w:val="none"/>
          <w:lang w:val="en-US" w:eastAsia="zh-CN"/>
        </w:rPr>
        <w:t>并纳入智慧城管信息平台，</w:t>
      </w:r>
      <w:r>
        <w:rPr>
          <w:rFonts w:hint="eastAsia" w:ascii="仿宋" w:hAnsi="仿宋" w:eastAsia="仿宋" w:cs="仿宋"/>
          <w:sz w:val="32"/>
          <w:szCs w:val="32"/>
          <w:u w:val="none"/>
          <w:lang w:eastAsia="zh-CN"/>
        </w:rPr>
        <w:t>实时向社会公布公共停车场和路内停车泊位分布位置、使用状况、泊位数量等信息，实现信息查询、车位预约、电子支付、不停车快捷交费等服务功能，提高停车场管理智能化、信息化水平。根据国家有关规范和标准，在城区道路路</w:t>
      </w:r>
      <w:r>
        <w:rPr>
          <w:rFonts w:hint="eastAsia" w:ascii="仿宋" w:hAnsi="仿宋" w:eastAsia="仿宋" w:cs="仿宋"/>
          <w:sz w:val="32"/>
          <w:szCs w:val="32"/>
          <w:u w:val="none"/>
          <w:lang w:val="en-US" w:eastAsia="zh-CN"/>
        </w:rPr>
        <w:t>缘</w:t>
      </w:r>
      <w:r>
        <w:rPr>
          <w:rFonts w:hint="eastAsia" w:ascii="仿宋" w:hAnsi="仿宋" w:eastAsia="仿宋" w:cs="仿宋"/>
          <w:sz w:val="32"/>
          <w:szCs w:val="32"/>
          <w:u w:val="none"/>
          <w:lang w:eastAsia="zh-CN"/>
        </w:rPr>
        <w:t>石至两侧合法建筑物之间的区域科学设置停车泊位。依法对投入使用的</w:t>
      </w:r>
      <w:r>
        <w:rPr>
          <w:rFonts w:hint="eastAsia" w:ascii="仿宋" w:hAnsi="仿宋" w:eastAsia="仿宋" w:cs="仿宋"/>
          <w:sz w:val="32"/>
          <w:szCs w:val="32"/>
          <w:u w:val="none"/>
          <w:lang w:val="en-US" w:eastAsia="zh-CN"/>
        </w:rPr>
        <w:t>公共</w:t>
      </w:r>
      <w:r>
        <w:rPr>
          <w:rFonts w:hint="eastAsia" w:ascii="仿宋" w:hAnsi="仿宋" w:eastAsia="仿宋" w:cs="仿宋"/>
          <w:sz w:val="32"/>
          <w:szCs w:val="32"/>
          <w:u w:val="none"/>
          <w:lang w:eastAsia="zh-CN"/>
        </w:rPr>
        <w:t>停车场进行备案。</w:t>
      </w:r>
      <w:r>
        <w:rPr>
          <w:rFonts w:hint="eastAsia" w:ascii="仿宋" w:hAnsi="仿宋" w:eastAsia="仿宋" w:cs="仿宋"/>
          <w:sz w:val="32"/>
          <w:szCs w:val="32"/>
          <w:u w:val="none"/>
          <w:lang w:val="en-US" w:eastAsia="zh-CN"/>
        </w:rPr>
        <w:t>依法</w:t>
      </w:r>
      <w:r>
        <w:rPr>
          <w:rFonts w:hint="eastAsia" w:ascii="仿宋" w:hAnsi="仿宋" w:eastAsia="仿宋" w:cs="仿宋"/>
          <w:sz w:val="32"/>
          <w:szCs w:val="32"/>
          <w:u w:val="none"/>
          <w:lang w:eastAsia="zh-CN"/>
        </w:rPr>
        <w:t>规范公共停车场运行秩序，对公共停车场日常运营开展动态监督和管理工作。</w:t>
      </w:r>
    </w:p>
    <w:p>
      <w:pPr>
        <w:keepNext w:val="0"/>
        <w:keepLines w:val="0"/>
        <w:pageBreakBefore w:val="0"/>
        <w:widowControl/>
        <w:kinsoku/>
        <w:wordWrap/>
        <w:overflowPunct/>
        <w:topLinePunct w:val="0"/>
        <w:autoSpaceDE/>
        <w:autoSpaceDN/>
        <w:bidi w:val="0"/>
        <w:adjustRightInd/>
        <w:snapToGrid/>
        <w:spacing w:line="240" w:lineRule="auto"/>
        <w:ind w:firstLine="642" w:firstLineChars="200"/>
        <w:jc w:val="both"/>
        <w:textAlignment w:val="baseline"/>
        <w:rPr>
          <w:rFonts w:hint="eastAsia" w:ascii="仿宋" w:hAnsi="仿宋" w:eastAsia="仿宋" w:cs="仿宋"/>
          <w:sz w:val="32"/>
          <w:szCs w:val="32"/>
          <w:u w:val="none"/>
          <w:lang w:val="en-US" w:eastAsia="zh-CN"/>
        </w:rPr>
      </w:pPr>
      <w:r>
        <w:rPr>
          <w:rFonts w:hint="eastAsia" w:ascii="仿宋" w:hAnsi="仿宋" w:eastAsia="仿宋" w:cs="仿宋"/>
          <w:b/>
          <w:bCs/>
          <w:sz w:val="32"/>
          <w:szCs w:val="32"/>
          <w:u w:val="none"/>
          <w:lang w:val="en-US" w:eastAsia="zh-CN"/>
        </w:rPr>
        <w:t>第十八条</w:t>
      </w:r>
      <w:r>
        <w:rPr>
          <w:rFonts w:hint="eastAsia" w:ascii="仿宋" w:hAnsi="仿宋" w:eastAsia="仿宋" w:cs="仿宋"/>
          <w:sz w:val="32"/>
          <w:szCs w:val="32"/>
          <w:u w:val="none"/>
          <w:lang w:val="en-US" w:eastAsia="zh-CN"/>
        </w:rPr>
        <w:t xml:space="preserve"> 发展和改革部门应当对公共停车场收费定价开展监督和管理工作。</w:t>
      </w:r>
      <w:r>
        <w:rPr>
          <w:rFonts w:hint="eastAsia" w:ascii="仿宋" w:hAnsi="仿宋" w:eastAsia="仿宋" w:cs="仿宋"/>
          <w:sz w:val="32"/>
          <w:szCs w:val="32"/>
          <w:u w:val="none"/>
          <w:lang w:val="en" w:eastAsia="zh-CN"/>
        </w:rPr>
        <w:t>按照《政府制定价格行为规则》、</w:t>
      </w:r>
      <w:r>
        <w:rPr>
          <w:rFonts w:hint="eastAsia" w:ascii="仿宋" w:hAnsi="仿宋" w:eastAsia="仿宋" w:cs="仿宋"/>
          <w:sz w:val="32"/>
          <w:szCs w:val="32"/>
          <w:u w:val="none"/>
          <w:lang w:val="en-US" w:eastAsia="zh-CN"/>
        </w:rPr>
        <w:t>《自治区定价目录》、</w:t>
      </w:r>
      <w:r>
        <w:rPr>
          <w:rFonts w:hint="eastAsia" w:ascii="仿宋" w:hAnsi="仿宋" w:eastAsia="仿宋" w:cs="仿宋"/>
          <w:sz w:val="32"/>
          <w:szCs w:val="32"/>
          <w:u w:val="none"/>
          <w:lang w:val="en" w:eastAsia="zh-CN"/>
        </w:rPr>
        <w:t>《</w:t>
      </w:r>
      <w:r>
        <w:rPr>
          <w:rFonts w:hint="eastAsia" w:ascii="仿宋" w:hAnsi="仿宋" w:eastAsia="仿宋" w:cs="仿宋"/>
          <w:sz w:val="32"/>
          <w:szCs w:val="32"/>
          <w:u w:val="none"/>
          <w:lang w:val="en-US" w:eastAsia="zh-CN"/>
        </w:rPr>
        <w:t>内蒙古自治区机动车停放服务收费管理办法</w:t>
      </w:r>
      <w:r>
        <w:rPr>
          <w:rFonts w:hint="eastAsia" w:ascii="仿宋" w:hAnsi="仿宋" w:eastAsia="仿宋" w:cs="仿宋"/>
          <w:sz w:val="32"/>
          <w:szCs w:val="32"/>
          <w:u w:val="none"/>
          <w:lang w:val="en" w:eastAsia="zh-CN"/>
        </w:rPr>
        <w:t>》和《</w:t>
      </w:r>
      <w:r>
        <w:rPr>
          <w:rFonts w:hint="eastAsia" w:ascii="仿宋" w:hAnsi="仿宋" w:eastAsia="仿宋" w:cs="仿宋"/>
          <w:sz w:val="32"/>
          <w:szCs w:val="32"/>
          <w:u w:val="none"/>
          <w:lang w:val="en-US" w:eastAsia="zh-CN"/>
        </w:rPr>
        <w:t>乌海市机动车停放服务收费管理细则</w:t>
      </w:r>
      <w:r>
        <w:rPr>
          <w:rFonts w:hint="eastAsia" w:ascii="仿宋" w:hAnsi="仿宋" w:eastAsia="仿宋" w:cs="仿宋"/>
          <w:sz w:val="32"/>
          <w:szCs w:val="32"/>
          <w:u w:val="none"/>
          <w:lang w:val="en" w:eastAsia="zh-CN"/>
        </w:rPr>
        <w:t>》</w:t>
      </w:r>
      <w:r>
        <w:rPr>
          <w:rFonts w:hint="eastAsia" w:ascii="仿宋" w:hAnsi="仿宋" w:eastAsia="仿宋" w:cs="仿宋"/>
          <w:sz w:val="32"/>
          <w:szCs w:val="32"/>
          <w:u w:val="none"/>
          <w:lang w:val="en-US" w:eastAsia="zh-CN"/>
        </w:rPr>
        <w:t>，制定所辖区域内机动车停放服务收费实施细则和停放服务收费标准。为政府定价的机动车停车场办理《政府定价经营服务性收费公示清单》，并通过政府网站向社会公布本地区实行政府定价管理的机动车停车场相关信息。实行市场调节价的公共停车场收费标准由停车场经营者依据经营成本和市场供求等因素，按照补偿合理成本、获取合理利润的原则自主确定。</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baseline"/>
        <w:rPr>
          <w:rFonts w:hint="eastAsia" w:ascii="仿宋" w:hAnsi="仿宋" w:eastAsia="仿宋" w:cs="仿宋"/>
          <w:sz w:val="32"/>
          <w:szCs w:val="32"/>
          <w:u w:val="none"/>
          <w:lang w:val="en-US" w:eastAsia="zh-CN"/>
        </w:rPr>
      </w:pPr>
      <w:r>
        <w:rPr>
          <w:rFonts w:hint="eastAsia" w:ascii="仿宋" w:hAnsi="仿宋" w:eastAsia="仿宋" w:cs="仿宋"/>
          <w:b/>
          <w:bCs/>
          <w:sz w:val="32"/>
          <w:szCs w:val="32"/>
          <w:u w:val="none"/>
          <w:lang w:val="en-US" w:eastAsia="zh-CN"/>
        </w:rPr>
        <w:t>第十九条</w:t>
      </w:r>
      <w:r>
        <w:rPr>
          <w:rFonts w:hint="eastAsia" w:ascii="仿宋" w:hAnsi="仿宋" w:eastAsia="仿宋" w:cs="仿宋"/>
          <w:sz w:val="32"/>
          <w:szCs w:val="32"/>
          <w:u w:val="none"/>
          <w:lang w:val="en-US" w:eastAsia="zh-CN"/>
        </w:rPr>
        <w:t xml:space="preserve"> 市场监督管理部门应当依法为公共停车场经营主体办理营业执照。按照“双随机、一公开”的原则建立事中事后监管机制，定期开展抽查。对公共停车场经营主体擅自提高政府定价、政府指导价、不明码标价、无照经营等行为依法予以处罚，维护市场正常秩序。</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baseline"/>
        <w:rPr>
          <w:rFonts w:hint="eastAsia" w:ascii="仿宋" w:hAnsi="仿宋" w:eastAsia="仿宋" w:cs="仿宋"/>
          <w:sz w:val="32"/>
          <w:szCs w:val="32"/>
          <w:u w:val="none"/>
          <w:lang w:val="en-US" w:eastAsia="zh-CN"/>
        </w:rPr>
      </w:pPr>
      <w:r>
        <w:rPr>
          <w:rFonts w:hint="eastAsia" w:ascii="仿宋" w:hAnsi="仿宋" w:eastAsia="仿宋" w:cs="仿宋"/>
          <w:b/>
          <w:bCs/>
          <w:sz w:val="32"/>
          <w:szCs w:val="32"/>
          <w:u w:val="none"/>
          <w:lang w:val="en-US" w:eastAsia="zh-CN"/>
        </w:rPr>
        <w:t>第二十条</w:t>
      </w:r>
      <w:r>
        <w:rPr>
          <w:rFonts w:hint="eastAsia" w:ascii="仿宋" w:hAnsi="仿宋" w:eastAsia="仿宋" w:cs="仿宋"/>
          <w:sz w:val="32"/>
          <w:szCs w:val="32"/>
          <w:u w:val="none"/>
          <w:lang w:val="en-US" w:eastAsia="zh-CN"/>
        </w:rPr>
        <w:t xml:space="preserve"> 公安机关交通管理部门是道路停车泊位的主管部门。负责根据道路条件、交通流量、停车需求变化和社会公众意见，设置、调整和管理道路停车泊位，并向社会公布停车泊位的位置、准停时段、收费标准等信息。</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baseline"/>
        <w:rPr>
          <w:rFonts w:hint="eastAsia" w:ascii="仿宋" w:hAnsi="仿宋" w:eastAsia="仿宋" w:cs="仿宋"/>
          <w:sz w:val="32"/>
          <w:szCs w:val="32"/>
          <w:u w:val="none"/>
          <w:lang w:val="en-US" w:eastAsia="zh-CN"/>
        </w:rPr>
      </w:pPr>
      <w:r>
        <w:rPr>
          <w:rFonts w:hint="eastAsia" w:ascii="仿宋" w:hAnsi="仿宋" w:eastAsia="仿宋" w:cs="仿宋"/>
          <w:b/>
          <w:bCs/>
          <w:sz w:val="32"/>
          <w:szCs w:val="32"/>
          <w:u w:val="none"/>
          <w:lang w:val="en-US" w:eastAsia="zh-CN"/>
        </w:rPr>
        <w:t>第二十一条</w:t>
      </w:r>
      <w:r>
        <w:rPr>
          <w:rFonts w:hint="eastAsia" w:ascii="仿宋" w:hAnsi="仿宋" w:eastAsia="仿宋" w:cs="仿宋"/>
          <w:sz w:val="32"/>
          <w:szCs w:val="32"/>
          <w:u w:val="none"/>
          <w:lang w:val="en-US" w:eastAsia="zh-CN"/>
        </w:rPr>
        <w:t xml:space="preserve"> 政府投资建设的公共停车场，选择专业停车场管理服务单位进行经营，收入全额上缴财政，实行收支两条线管理。单位和个人投资建设的公共停车场，所有权人可以自行经营，也可以委托专业停车场管理服务单位进行经营。鼓励建立健全“投资、建设、经营”为一体的公共停车场市场化运作机制。</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baseline"/>
        <w:rPr>
          <w:rFonts w:hint="eastAsia" w:ascii="仿宋" w:hAnsi="仿宋" w:eastAsia="仿宋" w:cs="仿宋"/>
          <w:sz w:val="32"/>
          <w:szCs w:val="32"/>
          <w:u w:val="none"/>
          <w:lang w:val="en-US" w:eastAsia="zh-CN"/>
        </w:rPr>
      </w:pPr>
      <w:r>
        <w:rPr>
          <w:rFonts w:hint="eastAsia" w:ascii="仿宋" w:hAnsi="仿宋" w:eastAsia="仿宋" w:cs="仿宋"/>
          <w:b/>
          <w:bCs/>
          <w:sz w:val="32"/>
          <w:szCs w:val="32"/>
          <w:u w:val="none"/>
          <w:lang w:val="en-US" w:eastAsia="zh-CN"/>
        </w:rPr>
        <w:t>第二十二条</w:t>
      </w:r>
      <w:r>
        <w:rPr>
          <w:rFonts w:hint="eastAsia" w:ascii="仿宋" w:hAnsi="仿宋" w:eastAsia="仿宋" w:cs="仿宋"/>
          <w:sz w:val="32"/>
          <w:szCs w:val="32"/>
          <w:u w:val="none"/>
          <w:lang w:val="en-US" w:eastAsia="zh-CN"/>
        </w:rPr>
        <w:t xml:space="preserve">  机动车停放服务收费实行政府定价的，遵循中心区域高于外围区域、交通拥堵时段高于空闲时段、道路停车泊位高于公共停车场、建筑物配建停车场等原则，区分不同区域、时段、车型，制定差别化收费标准，并建立动态调整机制，合理调控出行停车需求。</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baseline"/>
        <w:rPr>
          <w:rFonts w:hint="eastAsia" w:ascii="仿宋" w:hAnsi="仿宋" w:eastAsia="仿宋" w:cs="仿宋"/>
          <w:sz w:val="32"/>
          <w:szCs w:val="32"/>
          <w:u w:val="none"/>
          <w:lang w:val="en-US" w:eastAsia="zh-CN"/>
        </w:rPr>
      </w:pPr>
      <w:r>
        <w:rPr>
          <w:rFonts w:hint="eastAsia" w:ascii="仿宋" w:hAnsi="仿宋" w:eastAsia="仿宋" w:cs="仿宋"/>
          <w:b/>
          <w:bCs/>
          <w:sz w:val="32"/>
          <w:szCs w:val="32"/>
          <w:u w:val="none"/>
          <w:lang w:val="en-US" w:eastAsia="zh-CN"/>
        </w:rPr>
        <w:t>第二十三条</w:t>
      </w:r>
      <w:r>
        <w:rPr>
          <w:rFonts w:hint="eastAsia" w:ascii="仿宋" w:hAnsi="仿宋" w:eastAsia="仿宋" w:cs="仿宋"/>
          <w:sz w:val="32"/>
          <w:szCs w:val="32"/>
          <w:u w:val="none"/>
          <w:lang w:val="en-US" w:eastAsia="zh-CN"/>
        </w:rPr>
        <w:t xml:space="preserve"> 鼓励单位及有条件的住宅小区开放内部停车场，共享停车资源。在规范管理、合理收费的情况下，可以向主管部门备案后实行有偿使用。利用住宅小区共有道路或者其他共有场所设置车位、收取费用等事项，可由业主大会决定，在小区公示后执行。</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baseline"/>
        <w:rPr>
          <w:rFonts w:hint="eastAsia" w:ascii="仿宋" w:hAnsi="仿宋" w:eastAsia="仿宋" w:cs="仿宋"/>
          <w:sz w:val="32"/>
          <w:szCs w:val="32"/>
          <w:u w:val="none"/>
          <w:lang w:val="en-US" w:eastAsia="zh-CN"/>
        </w:rPr>
      </w:pPr>
      <w:r>
        <w:rPr>
          <w:rFonts w:hint="eastAsia" w:ascii="仿宋" w:hAnsi="仿宋" w:eastAsia="仿宋" w:cs="仿宋"/>
          <w:b/>
          <w:bCs/>
          <w:sz w:val="32"/>
          <w:szCs w:val="32"/>
          <w:u w:val="none"/>
          <w:lang w:val="en-US" w:eastAsia="zh-CN"/>
        </w:rPr>
        <w:t>第二十四条</w:t>
      </w:r>
      <w:r>
        <w:rPr>
          <w:rFonts w:hint="eastAsia" w:ascii="仿宋" w:hAnsi="仿宋" w:eastAsia="仿宋" w:cs="仿宋"/>
          <w:sz w:val="32"/>
          <w:szCs w:val="32"/>
          <w:u w:val="none"/>
          <w:lang w:val="en-US" w:eastAsia="zh-CN"/>
        </w:rPr>
        <w:t xml:space="preserve"> 公共停车场运营单位负责维护公共停车场日常运行秩序并应遵守下列规定：</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（一）按照规定设置停车场标志牌等设施，在停车场出入口或其他显著位置公示停车场（停车路段）名称、服务项目、收费标准、收费依据、缴费方式和投诉监督电话。</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（二）做好停车场日常管理和养护工作，确保环境整洁、各项设施设备齐全以及正常使用。</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（三）引导车辆有序进出和规范停放，维护停车秩序。</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（四）协助疏导停车场出入口的交通，做好停车场防火、防盗等安全防范工作；停车场内发生紧急情况，及时采取应急措施。</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（五）不得允许载有易燃、易爆、有毒、有害等危险物品的车辆在停车场停放；</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（六）按照收费标准收费，提供电子支付服务，向停车人出具合法票据；</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default"/>
          <w:lang w:val="en-US" w:eastAsia="zh-CN"/>
        </w:rPr>
      </w:pPr>
      <w:r>
        <w:rPr>
          <w:rFonts w:hint="eastAsia" w:ascii="仿宋" w:hAnsi="仿宋" w:eastAsia="仿宋" w:cs="仿宋"/>
          <w:sz w:val="32"/>
          <w:szCs w:val="32"/>
          <w:u w:val="none"/>
          <w:lang w:val="en-US" w:eastAsia="zh-CN"/>
        </w:rPr>
        <w:t>（七）停车场安装使用的电子停车计时收费表、新能源汽车充电桩（机)应当依法检定，经检定合格后在有效期内使用;</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（八）未经核准，不得擅自改变停车场使用性质、范围或者将停车场挪作他用；</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（九）法律、法规规定应当遵守的其他行为。</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baseline"/>
        <w:rPr>
          <w:rFonts w:hint="eastAsia" w:ascii="仿宋" w:hAnsi="仿宋" w:eastAsia="仿宋" w:cs="仿宋"/>
          <w:sz w:val="32"/>
          <w:szCs w:val="32"/>
          <w:u w:val="none"/>
          <w:lang w:val="en-US" w:eastAsia="zh-CN"/>
        </w:rPr>
      </w:pPr>
      <w:r>
        <w:rPr>
          <w:rFonts w:hint="eastAsia" w:ascii="仿宋" w:hAnsi="仿宋" w:eastAsia="仿宋" w:cs="仿宋"/>
          <w:b/>
          <w:bCs/>
          <w:sz w:val="32"/>
          <w:szCs w:val="32"/>
          <w:u w:val="none"/>
          <w:lang w:val="en-US" w:eastAsia="zh-CN"/>
        </w:rPr>
        <w:t>第二十五条</w:t>
      </w:r>
      <w:r>
        <w:rPr>
          <w:rFonts w:hint="eastAsia" w:ascii="仿宋" w:hAnsi="仿宋" w:eastAsia="仿宋" w:cs="仿宋"/>
          <w:sz w:val="32"/>
          <w:szCs w:val="32"/>
          <w:u w:val="none"/>
          <w:lang w:val="en-US" w:eastAsia="zh-CN"/>
        </w:rPr>
        <w:t xml:space="preserve"> 机动车驾驶人员进入公共停车场应当遵守下列规定：</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楷体_GB2312" w:hAnsi="楷体_GB2312" w:eastAsia="楷体_GB2312" w:cs="楷体_GB2312"/>
          <w:b w:val="0"/>
          <w:i w:val="0"/>
          <w:caps w:val="0"/>
          <w:color w:val="FF0000"/>
          <w:spacing w:val="0"/>
          <w:kern w:val="0"/>
          <w:sz w:val="32"/>
          <w:szCs w:val="32"/>
          <w:shd w:val="clear" w:color="auto" w:fill="FFFFFF"/>
          <w:lang w:val="en-US" w:eastAsia="zh-CN" w:bidi="ar"/>
        </w:rPr>
      </w:pPr>
      <w:r>
        <w:rPr>
          <w:rFonts w:hint="eastAsia" w:ascii="仿宋" w:hAnsi="仿宋" w:eastAsia="仿宋" w:cs="仿宋"/>
          <w:sz w:val="32"/>
          <w:szCs w:val="32"/>
          <w:u w:val="none"/>
          <w:lang w:val="en-US" w:eastAsia="zh-CN"/>
        </w:rPr>
        <w:t>（一）听从停车管理人员调度，自觉文明停车，</w:t>
      </w:r>
      <w:r>
        <w:rPr>
          <w:rFonts w:hint="eastAsia" w:ascii="楷体_GB2312" w:hAnsi="楷体_GB2312" w:eastAsia="楷体_GB2312" w:cs="楷体_GB2312"/>
          <w:b w:val="0"/>
          <w:i w:val="0"/>
          <w:caps w:val="0"/>
          <w:color w:val="FF0000"/>
          <w:spacing w:val="0"/>
          <w:kern w:val="0"/>
          <w:sz w:val="32"/>
          <w:szCs w:val="32"/>
          <w:shd w:val="clear" w:color="auto" w:fill="FFFFFF"/>
          <w:lang w:val="en-US" w:eastAsia="zh-CN" w:bidi="ar"/>
        </w:rPr>
        <w:t>将车辆停放至指定位置，不得逆向、跨线停放，两轮摩</w:t>
      </w:r>
      <w:bookmarkStart w:id="0" w:name="_GoBack"/>
      <w:bookmarkEnd w:id="0"/>
      <w:r>
        <w:rPr>
          <w:rFonts w:hint="eastAsia" w:ascii="楷体_GB2312" w:hAnsi="楷体_GB2312" w:eastAsia="楷体_GB2312" w:cs="楷体_GB2312"/>
          <w:b w:val="0"/>
          <w:i w:val="0"/>
          <w:caps w:val="0"/>
          <w:color w:val="FF0000"/>
          <w:spacing w:val="0"/>
          <w:kern w:val="0"/>
          <w:sz w:val="32"/>
          <w:szCs w:val="32"/>
          <w:shd w:val="clear" w:color="auto" w:fill="FFFFFF"/>
          <w:lang w:val="en-US" w:eastAsia="zh-CN" w:bidi="ar"/>
        </w:rPr>
        <w:t>托车、两轮电瓶车、电动三轮车停放在非机动车辆的停车泊位内；</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（二）按规定标准缴纳停车费；</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（三）严格遵守安全防火规定，严禁载有易燃、易爆、有毒、有害等危险物品及违禁物品的车辆进入公共停车场；</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（四）不得损坏标志标牌、智能道闸等停车场设施；</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（五）不得有其他妨害停车场管理的行为。</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（六）</w:t>
      </w:r>
      <w:r>
        <w:rPr>
          <w:rFonts w:hint="eastAsia" w:ascii="楷体_GB2312" w:hAnsi="楷体_GB2312" w:eastAsia="楷体_GB2312" w:cs="楷体_GB2312"/>
          <w:b w:val="0"/>
          <w:i w:val="0"/>
          <w:caps w:val="0"/>
          <w:color w:val="FF0000"/>
          <w:spacing w:val="0"/>
          <w:kern w:val="0"/>
          <w:sz w:val="32"/>
          <w:szCs w:val="32"/>
          <w:shd w:val="clear" w:color="auto" w:fill="FFFFFF"/>
          <w:lang w:val="en-US" w:eastAsia="zh-CN" w:bidi="ar"/>
        </w:rPr>
        <w:t>在免费停车泊位连续停放不得超过24小时。（抢险、执勤、救护、消防、洒水、清扫等车辆在执行任务或作业时除外）</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baseline"/>
        <w:rPr>
          <w:rFonts w:hint="eastAsia" w:ascii="仿宋" w:hAnsi="仿宋" w:eastAsia="仿宋" w:cs="仿宋"/>
          <w:sz w:val="32"/>
          <w:szCs w:val="32"/>
          <w:u w:val="none"/>
          <w:lang w:val="en-US" w:eastAsia="zh-CN"/>
        </w:rPr>
      </w:pPr>
      <w:r>
        <w:rPr>
          <w:rFonts w:hint="eastAsia" w:ascii="仿宋" w:hAnsi="仿宋" w:eastAsia="仿宋" w:cs="仿宋"/>
          <w:b/>
          <w:bCs/>
          <w:sz w:val="32"/>
          <w:szCs w:val="32"/>
          <w:u w:val="none"/>
          <w:lang w:val="en-US" w:eastAsia="zh-CN"/>
        </w:rPr>
        <w:t>第二十六条</w:t>
      </w:r>
      <w:r>
        <w:rPr>
          <w:rFonts w:hint="eastAsia" w:ascii="仿宋" w:hAnsi="仿宋" w:eastAsia="仿宋" w:cs="仿宋"/>
          <w:sz w:val="32"/>
          <w:szCs w:val="32"/>
          <w:u w:val="none"/>
          <w:lang w:val="en-US" w:eastAsia="zh-CN"/>
        </w:rPr>
        <w:t xml:space="preserve"> 地方人民政府应当组织发展和改革、自然资源、住房和城乡建设、应急管理、城市管理综合执法、公安机关交通管理、大数据、财政、市场监督管理、税务、人防等部门建立协调联动工作机制，加强对公共停车场规划、审批、建设、验收、运营和管理的监督检查，建立联合执法机制，依法及时查处违法行为。</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baseline"/>
        <w:rPr>
          <w:rFonts w:hint="eastAsia" w:ascii="楷体_GB2312" w:hAnsi="楷体_GB2312" w:eastAsia="楷体_GB2312" w:cs="楷体_GB2312"/>
          <w:b w:val="0"/>
          <w:i w:val="0"/>
          <w:caps w:val="0"/>
          <w:color w:val="FF0000"/>
          <w:spacing w:val="0"/>
          <w:kern w:val="0"/>
          <w:sz w:val="32"/>
          <w:szCs w:val="32"/>
          <w:shd w:val="clear" w:color="auto" w:fill="FFFFFF"/>
          <w:lang w:val="en-US" w:eastAsia="zh-CN" w:bidi="ar"/>
        </w:rPr>
      </w:pPr>
      <w:r>
        <w:rPr>
          <w:rFonts w:hint="eastAsia" w:ascii="仿宋" w:hAnsi="仿宋" w:eastAsia="仿宋" w:cs="仿宋"/>
          <w:b/>
          <w:bCs/>
          <w:sz w:val="32"/>
          <w:szCs w:val="32"/>
          <w:u w:val="none"/>
          <w:lang w:val="en-US" w:eastAsia="zh-CN"/>
        </w:rPr>
        <w:t xml:space="preserve">第二十七条 </w:t>
      </w:r>
      <w:r>
        <w:rPr>
          <w:rFonts w:hint="eastAsia" w:ascii="仿宋" w:hAnsi="仿宋" w:eastAsia="仿宋" w:cs="仿宋"/>
          <w:sz w:val="32"/>
          <w:szCs w:val="32"/>
          <w:u w:val="none"/>
          <w:lang w:val="en-US" w:eastAsia="zh-CN"/>
        </w:rPr>
        <w:t>城市管理综合执法部门、公安机关交通管理部门严厉查处二手交易车辆、汽车租赁车辆及广告宣传车辆长期占用公共停车位的行为，及时拖移违停车辆并依法进行处罚。</w:t>
      </w:r>
    </w:p>
    <w:p>
      <w:pPr>
        <w:keepNext w:val="0"/>
        <w:keepLines w:val="0"/>
        <w:pageBreakBefore w:val="0"/>
        <w:widowControl/>
        <w:kinsoku/>
        <w:wordWrap/>
        <w:overflowPunct/>
        <w:topLinePunct w:val="0"/>
        <w:autoSpaceDE/>
        <w:autoSpaceDN/>
        <w:bidi w:val="0"/>
        <w:adjustRightInd/>
        <w:snapToGrid/>
        <w:spacing w:line="240" w:lineRule="auto"/>
        <w:textAlignment w:val="baseline"/>
        <w:rPr>
          <w:rFonts w:hint="eastAsia" w:ascii="仿宋" w:hAnsi="仿宋" w:eastAsia="仿宋" w:cs="仿宋"/>
          <w:sz w:val="32"/>
          <w:szCs w:val="32"/>
          <w:u w:val="none"/>
          <w:lang w:val="en-US" w:eastAsia="zh-CN"/>
        </w:rPr>
      </w:pPr>
    </w:p>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第四章  附则</w:t>
      </w:r>
    </w:p>
    <w:p>
      <w:pPr>
        <w:keepNext w:val="0"/>
        <w:keepLines w:val="0"/>
        <w:pageBreakBefore w:val="0"/>
        <w:widowControl/>
        <w:kinsoku/>
        <w:wordWrap/>
        <w:overflowPunct/>
        <w:topLinePunct w:val="0"/>
        <w:autoSpaceDE/>
        <w:autoSpaceDN/>
        <w:bidi w:val="0"/>
        <w:adjustRightInd/>
        <w:snapToGrid/>
        <w:spacing w:line="240" w:lineRule="auto"/>
        <w:ind w:firstLine="642" w:firstLineChars="200"/>
        <w:jc w:val="left"/>
        <w:textAlignment w:val="baseline"/>
        <w:rPr>
          <w:rFonts w:hint="eastAsia" w:ascii="仿宋" w:hAnsi="仿宋" w:eastAsia="仿宋" w:cs="仿宋"/>
          <w:sz w:val="32"/>
          <w:szCs w:val="32"/>
          <w:u w:val="none"/>
          <w:lang w:val="en-US" w:eastAsia="zh-CN"/>
        </w:rPr>
      </w:pPr>
      <w:r>
        <w:rPr>
          <w:rFonts w:hint="eastAsia" w:ascii="仿宋" w:hAnsi="仿宋" w:eastAsia="仿宋" w:cs="仿宋"/>
          <w:b/>
          <w:bCs/>
          <w:sz w:val="32"/>
          <w:szCs w:val="32"/>
          <w:u w:val="none"/>
          <w:lang w:val="en-US" w:eastAsia="zh-CN"/>
        </w:rPr>
        <w:t>第二十八条</w:t>
      </w:r>
      <w:r>
        <w:rPr>
          <w:rFonts w:hint="eastAsia" w:ascii="仿宋" w:hAnsi="仿宋" w:eastAsia="仿宋" w:cs="仿宋"/>
          <w:sz w:val="32"/>
          <w:szCs w:val="32"/>
          <w:u w:val="none"/>
          <w:lang w:val="en-US" w:eastAsia="zh-CN"/>
        </w:rPr>
        <w:t xml:space="preserve"> 本实施意见自印发之日起施行。</w:t>
      </w:r>
    </w:p>
    <w:p>
      <w:pPr>
        <w:rPr>
          <w:rFonts w:hint="eastAsia" w:ascii="仿宋" w:hAnsi="仿宋" w:eastAsia="仿宋" w:cs="仿宋"/>
          <w:sz w:val="32"/>
          <w:szCs w:val="32"/>
          <w:u w:val="none"/>
          <w:lang w:val="en-US" w:eastAsia="zh-CN"/>
        </w:rPr>
      </w:pPr>
    </w:p>
    <w:p>
      <w:pPr>
        <w:rPr>
          <w:rFonts w:hint="eastAsia" w:ascii="仿宋" w:hAnsi="仿宋" w:eastAsia="仿宋" w:cs="仿宋"/>
          <w:sz w:val="32"/>
          <w:szCs w:val="32"/>
          <w:u w:val="none"/>
          <w:lang w:val="en-US" w:eastAsia="zh-CN"/>
        </w:rPr>
      </w:pPr>
    </w:p>
    <w:sectPr>
      <w:footerReference r:id="rId3" w:type="default"/>
      <w:pgSz w:w="11906" w:h="16838"/>
      <w:pgMar w:top="1440" w:right="1800" w:bottom="1440" w:left="1800"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idowControl/>
      <w:snapToGrid w:val="0"/>
      <w:jc w:val="left"/>
      <w:textAlignment w:val="baseline"/>
      <w:rPr>
        <w:rStyle w:val="11"/>
        <w:rFonts w:ascii="Calibri" w:hAnsi="Calibri" w:eastAsia="宋体"/>
        <w:kern w:val="2"/>
        <w:sz w:val="18"/>
        <w:szCs w:val="21"/>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1</w:t>
                          </w:r>
                          <w:r>
                            <w:fldChar w:fldCharType="end"/>
                          </w:r>
                        </w:p>
                      </w:txbxContent>
                    </wps:txbx>
                    <wps:bodyPr wrap="none" lIns="0" tIns="0" rIns="0" bIns="0" upright="false">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EFSmNq1AQAAVQMAAA4AAAAAAAAAAQAgAAAANAEAAGRycy9lMm9E&#10;b2MueG1sUEsFBgAAAAAGAAYAWQEAAFsFA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Style w:val="11"/>
        <w:rFonts w:ascii="Calibri" w:hAnsi="Calibri" w:eastAsia="宋体"/>
        <w:kern w:val="2"/>
        <w:sz w:val="18"/>
        <w:szCs w:val="21"/>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widowControl/>
                            <w:snapToGrid w:val="0"/>
                            <w:jc w:val="left"/>
                            <w:textAlignment w:val="baseline"/>
                            <w:rPr>
                              <w:rStyle w:val="11"/>
                              <w:rFonts w:ascii="Calibri" w:hAnsi="Calibri" w:eastAsia="宋体"/>
                              <w:kern w:val="2"/>
                              <w:sz w:val="18"/>
                              <w:szCs w:val="21"/>
                              <w:lang w:val="en-US" w:eastAsia="zh-CN" w:bidi="ar-SA"/>
                            </w:rPr>
                          </w:pPr>
                        </w:p>
                        <w:p>
                          <w:pPr>
                            <w:widowControl/>
                            <w:textAlignment w:val="baseline"/>
                            <w:rPr>
                              <w:rStyle w:val="11"/>
                            </w:rPr>
                          </w:pPr>
                        </w:p>
                      </w:txbxContent>
                    </wps:txbx>
                    <wps:bodyPr lIns="0" tIns="0" rIns="0" bIns="0" upright="true"/>
                  </wps:wsp>
                </a:graphicData>
              </a:graphic>
            </wp:anchor>
          </w:drawing>
        </mc:Choice>
        <mc:Fallback>
          <w:pict>
            <v:shape id="文本框 1025" o:spid="_x0000_s1026" o:spt="202" type="#_x0000_t202" style="position:absolute;left:0pt;margin-top:0pt;height:144pt;width:144pt;mso-position-horizontal:outside;mso-position-horizontal-relative:margin;z-index:251659264;mso-width-relative:page;mso-height-relative:page;" filled="f" stroked="f" coordsize="21600,21600" o:gfxdata="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BYAAABkcnMvUEsBAhQAFAAAAAgAh07iQFmk9kDS&#10;AAAABQEAAA8AAAAAAAAAAQAgAAAAOAAAAGRycy9kb3ducmV2LnhtbFBLAQIUABQAAAAIAIdO4kBs&#10;BaX7ngEAAC4DAAAOAAAAAAAAAAEAIAAAADcBAABkcnMvZTJvRG9jLnhtbFBLBQYAAAAABgAGAFkB&#10;AABHBQAAAAA=&#10;">
              <v:fill on="f" focussize="0,0"/>
              <v:stroke on="f"/>
              <v:imagedata o:title=""/>
              <o:lock v:ext="edit" aspectratio="f"/>
              <v:textbox inset="0mm,0mm,0mm,0mm">
                <w:txbxContent>
                  <w:p>
                    <w:pPr>
                      <w:pStyle w:val="7"/>
                      <w:widowControl/>
                      <w:snapToGrid w:val="0"/>
                      <w:jc w:val="left"/>
                      <w:textAlignment w:val="baseline"/>
                      <w:rPr>
                        <w:rStyle w:val="11"/>
                        <w:rFonts w:ascii="Calibri" w:hAnsi="Calibri" w:eastAsia="宋体"/>
                        <w:kern w:val="2"/>
                        <w:sz w:val="18"/>
                        <w:szCs w:val="21"/>
                        <w:lang w:val="en-US" w:eastAsia="zh-CN" w:bidi="ar-SA"/>
                      </w:rPr>
                    </w:pPr>
                  </w:p>
                  <w:p>
                    <w:pPr>
                      <w:widowControl/>
                      <w:textAlignment w:val="baseline"/>
                      <w:rPr>
                        <w:rStyle w:val="11"/>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false"/>
  <w:bordersDoNotSurroundFooter w:val="false"/>
  <w:documentProtection w:enforcement="0"/>
  <w:defaultTabStop w:val="420"/>
  <w:displayHorizontalDrawingGridEvery w:val="1"/>
  <w:displayVerticalDrawingGridEvery w:val="1"/>
  <w:doNotUseMarginsForDrawingGridOrigin w:val="true"/>
  <w:drawingGridHorizontalOrigin w:val="1800"/>
  <w:drawingGridVerticalOrigin w:val="1440"/>
  <w:noPunctuationKerning w:val="true"/>
  <w:hdrShapeDefaults>
    <o:shapelayout v:ext="edit">
      <o:idmap v:ext="edit" data="3,4"/>
    </o:shapelayout>
  </w:hdrShapeDefault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F16C6"/>
    <w:rsid w:val="021757C3"/>
    <w:rsid w:val="03597E40"/>
    <w:rsid w:val="06BA6C2F"/>
    <w:rsid w:val="119F5074"/>
    <w:rsid w:val="1762443C"/>
    <w:rsid w:val="18BA663E"/>
    <w:rsid w:val="239378F2"/>
    <w:rsid w:val="25587043"/>
    <w:rsid w:val="285F20CD"/>
    <w:rsid w:val="2B100C6B"/>
    <w:rsid w:val="2CD35F10"/>
    <w:rsid w:val="2EBB7A83"/>
    <w:rsid w:val="34C9559F"/>
    <w:rsid w:val="352B326B"/>
    <w:rsid w:val="3C34124F"/>
    <w:rsid w:val="3C364251"/>
    <w:rsid w:val="3CA87FCE"/>
    <w:rsid w:val="3EB3AC91"/>
    <w:rsid w:val="3F116709"/>
    <w:rsid w:val="406E26FE"/>
    <w:rsid w:val="40EB0083"/>
    <w:rsid w:val="447E6188"/>
    <w:rsid w:val="50DD2CBA"/>
    <w:rsid w:val="54D81858"/>
    <w:rsid w:val="5CE003DB"/>
    <w:rsid w:val="5DED52CA"/>
    <w:rsid w:val="5E972C05"/>
    <w:rsid w:val="5F9F6DA1"/>
    <w:rsid w:val="640D7614"/>
    <w:rsid w:val="6827325F"/>
    <w:rsid w:val="79AF0F7B"/>
    <w:rsid w:val="7D007789"/>
    <w:rsid w:val="7EEE8485"/>
    <w:rsid w:val="A794322F"/>
    <w:rsid w:val="E9FD2C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1"/>
    <w:qFormat/>
    <w:uiPriority w:val="0"/>
    <w:pPr>
      <w:jc w:val="both"/>
      <w:textAlignment w:val="baseline"/>
    </w:pPr>
    <w:rPr>
      <w:rFonts w:ascii="Calibri" w:hAnsi="Calibri" w:eastAsia="宋体" w:cstheme="minorBidi"/>
      <w:kern w:val="2"/>
      <w:sz w:val="21"/>
      <w:szCs w:val="21"/>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BodyText1I"/>
    <w:basedOn w:val="3"/>
    <w:next w:val="4"/>
    <w:qFormat/>
    <w:uiPriority w:val="0"/>
    <w:pPr>
      <w:spacing w:before="214"/>
      <w:ind w:left="160" w:firstLine="420"/>
      <w:jc w:val="left"/>
      <w:textAlignment w:val="baseline"/>
    </w:pPr>
  </w:style>
  <w:style w:type="paragraph" w:customStyle="1" w:styleId="3">
    <w:name w:val="BodyText"/>
    <w:basedOn w:val="1"/>
    <w:next w:val="1"/>
    <w:qFormat/>
    <w:uiPriority w:val="0"/>
    <w:pPr>
      <w:spacing w:before="214"/>
      <w:ind w:left="160"/>
      <w:jc w:val="left"/>
      <w:textAlignment w:val="baseline"/>
    </w:pPr>
    <w:rPr>
      <w:rFonts w:ascii="仿宋" w:hAnsi="仿宋" w:eastAsia="仿宋"/>
      <w:kern w:val="0"/>
      <w:sz w:val="32"/>
      <w:szCs w:val="32"/>
      <w:lang w:val="zh-CN" w:eastAsia="zh-CN" w:bidi="ar-SA"/>
    </w:rPr>
  </w:style>
  <w:style w:type="paragraph" w:customStyle="1" w:styleId="4">
    <w:name w:val="BodyText1I2"/>
    <w:basedOn w:val="5"/>
    <w:qFormat/>
    <w:uiPriority w:val="0"/>
    <w:pPr>
      <w:ind w:left="0" w:firstLine="40"/>
      <w:jc w:val="both"/>
      <w:textAlignment w:val="baseline"/>
    </w:pPr>
    <w:rPr>
      <w:rFonts w:ascii="仿宋_GB2312" w:hAnsi="仿宋_GB2312" w:eastAsia="仿宋"/>
      <w:kern w:val="2"/>
      <w:sz w:val="32"/>
      <w:szCs w:val="32"/>
      <w:lang w:val="en-US" w:eastAsia="zh-CN" w:bidi="ar-SA"/>
    </w:rPr>
  </w:style>
  <w:style w:type="paragraph" w:customStyle="1" w:styleId="5">
    <w:name w:val="BodyTextIndent"/>
    <w:basedOn w:val="1"/>
    <w:next w:val="6"/>
    <w:qFormat/>
    <w:uiPriority w:val="0"/>
    <w:pPr>
      <w:ind w:firstLine="645"/>
      <w:jc w:val="both"/>
      <w:textAlignment w:val="baseline"/>
    </w:pPr>
    <w:rPr>
      <w:rFonts w:ascii="宋体" w:hAnsi="宋体" w:eastAsia="宋体"/>
      <w:kern w:val="2"/>
      <w:sz w:val="32"/>
      <w:szCs w:val="32"/>
      <w:lang w:val="en-US" w:eastAsia="zh-CN" w:bidi="ar-SA"/>
    </w:rPr>
  </w:style>
  <w:style w:type="paragraph" w:styleId="6">
    <w:name w:val="header"/>
    <w:basedOn w:val="1"/>
    <w:next w:val="7"/>
    <w:qFormat/>
    <w:uiPriority w:val="0"/>
    <w:pPr>
      <w:pBdr>
        <w:top w:val="none" w:color="000000" w:sz="0" w:space="1"/>
        <w:left w:val="none" w:color="000000" w:sz="0" w:space="4"/>
        <w:bottom w:val="none" w:color="000000" w:sz="0" w:space="1"/>
        <w:right w:val="none" w:color="000000" w:sz="0" w:space="4"/>
      </w:pBdr>
      <w:snapToGrid w:val="0"/>
      <w:spacing w:line="240" w:lineRule="auto"/>
      <w:jc w:val="both"/>
      <w:textAlignment w:val="baseline"/>
    </w:pPr>
    <w:rPr>
      <w:rFonts w:ascii="Calibri" w:hAnsi="Calibri" w:eastAsia="宋体"/>
      <w:kern w:val="2"/>
      <w:sz w:val="18"/>
      <w:szCs w:val="21"/>
      <w:lang w:val="en-US" w:eastAsia="zh-CN" w:bidi="ar-SA"/>
    </w:rPr>
  </w:style>
  <w:style w:type="paragraph" w:styleId="7">
    <w:name w:val="footer"/>
    <w:basedOn w:val="1"/>
    <w:next w:val="1"/>
    <w:qFormat/>
    <w:uiPriority w:val="0"/>
    <w:pPr>
      <w:snapToGrid w:val="0"/>
      <w:jc w:val="left"/>
      <w:textAlignment w:val="baseline"/>
    </w:pPr>
    <w:rPr>
      <w:rFonts w:ascii="Calibri" w:hAnsi="Calibri" w:eastAsia="宋体"/>
      <w:kern w:val="2"/>
      <w:sz w:val="18"/>
      <w:szCs w:val="21"/>
      <w:lang w:val="en-US" w:eastAsia="zh-CN" w:bidi="ar-SA"/>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1">
    <w:name w:val="NormalCharacter"/>
    <w:link w:val="1"/>
    <w:semiHidden/>
    <w:qFormat/>
    <w:uiPriority w:val="0"/>
  </w:style>
  <w:style w:type="table" w:customStyle="1" w:styleId="12">
    <w:name w:val="TableNormal"/>
    <w:semiHidden/>
    <w:qFormat/>
    <w:uiPriority w:val="0"/>
  </w:style>
  <w:style w:type="paragraph" w:customStyle="1" w:styleId="13">
    <w:name w:val="HtmlNormal"/>
    <w:basedOn w:val="1"/>
    <w:qFormat/>
    <w:uiPriority w:val="0"/>
    <w:pPr>
      <w:spacing w:beforeAutospacing="1" w:afterAutospacing="1"/>
      <w:jc w:val="left"/>
      <w:textAlignment w:val="baseline"/>
    </w:pPr>
    <w:rPr>
      <w:rFonts w:ascii="Calibri" w:hAnsi="Calibri" w:eastAsia="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81</TotalTime>
  <ScaleCrop>false</ScaleCrop>
  <LinksUpToDate>false</LinksUpToDate>
  <Application>WPS Office_11.8.2.10337_F1E327BC-269C-435d-A152-05C5408002CA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2021-11-17T05:42:00Z</dcterms:created>
  <dc:creator>lenovo</dc:creator>
  <cp:lastModifiedBy>wh</cp:lastModifiedBy>
  <cp:lastPrinted>2022-01-06T01:58:00Z</cp:lastPrinted>
  <dcterms:modified xsi:type="dcterms:W3CDTF">2022-02-28T16:49:50Z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BDDD97E373974FF8B7A278EF289A3716</vt:lpwstr>
  </property>
</Properties>
</file>